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55B54A" w14:textId="1F4F63D7" w:rsidR="00293390" w:rsidRPr="00B43818" w:rsidRDefault="00293390" w:rsidP="00293390">
      <w:pPr>
        <w:pStyle w:val="CRCoverPage"/>
        <w:tabs>
          <w:tab w:val="left" w:pos="1980"/>
        </w:tabs>
        <w:rPr>
          <w:rFonts w:ascii="Times New Roman" w:eastAsia="SimSun" w:hAnsi="Times New Roman"/>
          <w:b/>
          <w:sz w:val="24"/>
          <w:lang w:val="en-US" w:eastAsia="zh-CN"/>
        </w:rPr>
      </w:pPr>
      <w:r w:rsidRPr="00B43818">
        <w:rPr>
          <w:rFonts w:ascii="Times New Roman" w:eastAsia="SimSun" w:hAnsi="Times New Roman"/>
          <w:b/>
          <w:sz w:val="24"/>
          <w:lang w:val="en-US" w:eastAsia="zh-CN"/>
        </w:rPr>
        <w:t xml:space="preserve">3GPP TSG RAN WG1 </w:t>
      </w:r>
      <w:r w:rsidR="007D09C8">
        <w:rPr>
          <w:rFonts w:ascii="Times New Roman" w:eastAsia="SimSun" w:hAnsi="Times New Roman"/>
          <w:b/>
          <w:sz w:val="24"/>
          <w:lang w:val="en-US" w:eastAsia="zh-CN"/>
        </w:rPr>
        <w:t>#88</w:t>
      </w:r>
      <w:r w:rsidRPr="00B43818">
        <w:rPr>
          <w:rFonts w:ascii="Times New Roman" w:eastAsia="SimSun" w:hAnsi="Times New Roman"/>
          <w:b/>
          <w:sz w:val="24"/>
          <w:lang w:val="en-US" w:eastAsia="zh-CN"/>
        </w:rPr>
        <w:t xml:space="preserve"> Meeting</w:t>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t xml:space="preserve">    </w:t>
      </w:r>
      <w:r w:rsidR="00507972" w:rsidRPr="00507972">
        <w:rPr>
          <w:rFonts w:ascii="Times New Roman" w:eastAsia="SimSun" w:hAnsi="Times New Roman"/>
          <w:b/>
          <w:sz w:val="24"/>
          <w:lang w:val="en-US" w:eastAsia="zh-CN"/>
        </w:rPr>
        <w:t>R1-1702334</w:t>
      </w:r>
    </w:p>
    <w:p w14:paraId="1A210C76" w14:textId="2EB074E9" w:rsidR="009C6640" w:rsidRPr="00B43818" w:rsidRDefault="007D09C8" w:rsidP="00293390">
      <w:pPr>
        <w:pStyle w:val="CRCoverPage"/>
        <w:tabs>
          <w:tab w:val="left" w:pos="1980"/>
        </w:tabs>
        <w:jc w:val="both"/>
        <w:rPr>
          <w:rFonts w:ascii="Times New Roman" w:eastAsia="SimSun" w:hAnsi="Times New Roman"/>
          <w:b/>
          <w:sz w:val="24"/>
          <w:lang w:val="en-US" w:eastAsia="zh-CN"/>
        </w:rPr>
      </w:pPr>
      <w:r>
        <w:rPr>
          <w:rFonts w:ascii="Times New Roman" w:eastAsia="SimSun" w:hAnsi="Times New Roman"/>
          <w:b/>
          <w:sz w:val="24"/>
          <w:lang w:val="en-US" w:eastAsia="zh-CN"/>
        </w:rPr>
        <w:t>Athens</w:t>
      </w:r>
      <w:r w:rsidR="00293390" w:rsidRPr="00B43818">
        <w:rPr>
          <w:rFonts w:ascii="Times New Roman" w:eastAsia="SimSun" w:hAnsi="Times New Roman"/>
          <w:b/>
          <w:sz w:val="24"/>
          <w:lang w:val="en-US" w:eastAsia="zh-CN"/>
        </w:rPr>
        <w:t xml:space="preserve">, </w:t>
      </w:r>
      <w:r>
        <w:rPr>
          <w:rFonts w:ascii="Times New Roman" w:eastAsia="SimSun" w:hAnsi="Times New Roman"/>
          <w:b/>
          <w:sz w:val="24"/>
          <w:lang w:val="en-US" w:eastAsia="zh-CN"/>
        </w:rPr>
        <w:t>Greece</w:t>
      </w:r>
      <w:r w:rsidR="00293390" w:rsidRPr="00B43818">
        <w:rPr>
          <w:rFonts w:ascii="Times New Roman" w:eastAsia="SimSun" w:hAnsi="Times New Roman"/>
          <w:b/>
          <w:sz w:val="24"/>
          <w:lang w:val="en-US" w:eastAsia="zh-CN"/>
        </w:rPr>
        <w:t xml:space="preserve">, </w:t>
      </w:r>
      <w:r w:rsidR="003C668F">
        <w:rPr>
          <w:rFonts w:ascii="Times New Roman" w:eastAsia="SimSun" w:hAnsi="Times New Roman"/>
          <w:b/>
          <w:sz w:val="24"/>
          <w:lang w:val="en-US" w:eastAsia="zh-CN"/>
        </w:rPr>
        <w:t>13</w:t>
      </w:r>
      <w:r w:rsidR="0042532B" w:rsidRPr="00B43818">
        <w:rPr>
          <w:rFonts w:ascii="Times New Roman" w:eastAsia="SimSun" w:hAnsi="Times New Roman"/>
          <w:b/>
          <w:sz w:val="24"/>
          <w:vertAlign w:val="superscript"/>
          <w:lang w:val="en-US" w:eastAsia="zh-CN"/>
        </w:rPr>
        <w:t>th</w:t>
      </w:r>
      <w:r w:rsidR="0042532B" w:rsidRPr="00B43818">
        <w:rPr>
          <w:rFonts w:ascii="Times New Roman" w:eastAsia="SimSun" w:hAnsi="Times New Roman"/>
          <w:b/>
          <w:sz w:val="24"/>
          <w:lang w:val="en-US" w:eastAsia="zh-CN"/>
        </w:rPr>
        <w:t xml:space="preserve"> –</w:t>
      </w:r>
      <w:r w:rsidR="00293390" w:rsidRPr="00B43818">
        <w:rPr>
          <w:rFonts w:ascii="Times New Roman" w:eastAsia="SimSun" w:hAnsi="Times New Roman"/>
          <w:b/>
          <w:sz w:val="24"/>
          <w:lang w:val="en-US" w:eastAsia="zh-CN"/>
        </w:rPr>
        <w:t xml:space="preserve"> </w:t>
      </w:r>
      <w:r w:rsidR="003C668F">
        <w:rPr>
          <w:rFonts w:ascii="Times New Roman" w:eastAsia="SimSun" w:hAnsi="Times New Roman"/>
          <w:b/>
          <w:sz w:val="24"/>
          <w:lang w:val="en-US" w:eastAsia="zh-CN"/>
        </w:rPr>
        <w:t>17</w:t>
      </w:r>
      <w:r w:rsidR="0042532B" w:rsidRPr="00B43818">
        <w:rPr>
          <w:rFonts w:ascii="Times New Roman" w:eastAsia="SimSun" w:hAnsi="Times New Roman"/>
          <w:b/>
          <w:sz w:val="24"/>
          <w:vertAlign w:val="superscript"/>
          <w:lang w:val="en-US" w:eastAsia="zh-CN"/>
        </w:rPr>
        <w:t>th</w:t>
      </w:r>
      <w:r w:rsidR="0042532B" w:rsidRPr="00B43818">
        <w:rPr>
          <w:rFonts w:ascii="Times New Roman" w:eastAsia="SimSun" w:hAnsi="Times New Roman"/>
          <w:b/>
          <w:sz w:val="24"/>
          <w:lang w:val="en-US" w:eastAsia="zh-CN"/>
        </w:rPr>
        <w:t xml:space="preserve"> </w:t>
      </w:r>
      <w:r w:rsidR="003C668F">
        <w:rPr>
          <w:rFonts w:ascii="Times New Roman" w:eastAsia="SimSun" w:hAnsi="Times New Roman"/>
          <w:b/>
          <w:sz w:val="24"/>
          <w:lang w:val="en-US" w:eastAsia="zh-CN"/>
        </w:rPr>
        <w:t>February</w:t>
      </w:r>
      <w:r w:rsidR="00293390" w:rsidRPr="00B43818">
        <w:rPr>
          <w:rFonts w:ascii="Times New Roman" w:eastAsia="SimSun" w:hAnsi="Times New Roman"/>
          <w:b/>
          <w:sz w:val="24"/>
          <w:lang w:val="en-US" w:eastAsia="zh-CN"/>
        </w:rPr>
        <w:t xml:space="preserve"> 2017</w:t>
      </w:r>
    </w:p>
    <w:p w14:paraId="0AF63363" w14:textId="77777777" w:rsidR="00293390" w:rsidRPr="00B43818" w:rsidRDefault="00293390" w:rsidP="00293390">
      <w:pPr>
        <w:pStyle w:val="CRCoverPage"/>
        <w:tabs>
          <w:tab w:val="left" w:pos="1980"/>
        </w:tabs>
        <w:jc w:val="both"/>
        <w:rPr>
          <w:rFonts w:ascii="Times New Roman" w:hAnsi="Times New Roman"/>
          <w:b/>
          <w:bCs/>
          <w:sz w:val="24"/>
          <w:lang w:val="en-US"/>
        </w:rPr>
      </w:pPr>
    </w:p>
    <w:p w14:paraId="6FA141D4" w14:textId="0BB0E785" w:rsidR="00FA20F7" w:rsidRPr="00B43818" w:rsidRDefault="00FA20F7" w:rsidP="00FC6469">
      <w:pPr>
        <w:pStyle w:val="CRCoverPage"/>
        <w:tabs>
          <w:tab w:val="left" w:pos="1980"/>
        </w:tabs>
        <w:jc w:val="both"/>
        <w:rPr>
          <w:rFonts w:ascii="Times New Roman" w:hAnsi="Times New Roman"/>
          <w:b/>
          <w:bCs/>
          <w:sz w:val="24"/>
          <w:lang w:val="en-US" w:eastAsia="ja-JP"/>
        </w:rPr>
      </w:pPr>
      <w:r w:rsidRPr="00B43818">
        <w:rPr>
          <w:rFonts w:ascii="Times New Roman" w:hAnsi="Times New Roman"/>
          <w:b/>
          <w:bCs/>
          <w:sz w:val="24"/>
          <w:lang w:val="en-US"/>
        </w:rPr>
        <w:t>Agenda Item:</w:t>
      </w:r>
      <w:r w:rsidRPr="00B43818">
        <w:rPr>
          <w:rFonts w:ascii="Times New Roman" w:hAnsi="Times New Roman"/>
          <w:b/>
          <w:bCs/>
          <w:sz w:val="24"/>
          <w:lang w:val="en-US"/>
        </w:rPr>
        <w:tab/>
      </w:r>
      <w:r w:rsidR="00507972" w:rsidRPr="00507972">
        <w:rPr>
          <w:rFonts w:ascii="Times New Roman" w:hAnsi="Times New Roman"/>
          <w:b/>
          <w:bCs/>
          <w:sz w:val="24"/>
          <w:lang w:val="en-US"/>
        </w:rPr>
        <w:t>8.1.3.1.3</w:t>
      </w:r>
    </w:p>
    <w:p w14:paraId="186753AF" w14:textId="77777777" w:rsidR="00FA20F7" w:rsidRPr="00B43818" w:rsidRDefault="0092027E" w:rsidP="00FA20F7">
      <w:pPr>
        <w:tabs>
          <w:tab w:val="left" w:pos="1985"/>
        </w:tabs>
        <w:rPr>
          <w:b/>
          <w:bCs/>
          <w:sz w:val="24"/>
          <w:lang w:val="en-US"/>
        </w:rPr>
      </w:pPr>
      <w:r w:rsidRPr="00B43818">
        <w:rPr>
          <w:b/>
          <w:bCs/>
          <w:sz w:val="24"/>
          <w:lang w:val="en-US"/>
        </w:rPr>
        <w:t>Source:</w:t>
      </w:r>
      <w:r w:rsidRPr="00B43818">
        <w:rPr>
          <w:b/>
          <w:bCs/>
          <w:sz w:val="24"/>
          <w:lang w:val="en-US"/>
        </w:rPr>
        <w:tab/>
      </w:r>
      <w:proofErr w:type="spellStart"/>
      <w:r w:rsidRPr="00B43818">
        <w:rPr>
          <w:b/>
          <w:bCs/>
          <w:sz w:val="24"/>
          <w:lang w:val="en-US"/>
        </w:rPr>
        <w:t>InterDigital</w:t>
      </w:r>
      <w:proofErr w:type="spellEnd"/>
      <w:r w:rsidR="00E17A3B" w:rsidRPr="00B43818">
        <w:rPr>
          <w:b/>
          <w:bCs/>
          <w:sz w:val="24"/>
          <w:lang w:val="en-US"/>
        </w:rPr>
        <w:t xml:space="preserve"> Communications</w:t>
      </w:r>
    </w:p>
    <w:p w14:paraId="4F02292E" w14:textId="36E85236" w:rsidR="00FA20F7" w:rsidRPr="00B43818" w:rsidRDefault="00FA20F7" w:rsidP="00FA20F7">
      <w:pPr>
        <w:ind w:left="1985" w:hanging="1985"/>
        <w:rPr>
          <w:b/>
          <w:bCs/>
          <w:lang w:val="en-US"/>
        </w:rPr>
      </w:pPr>
      <w:r w:rsidRPr="00B43818">
        <w:rPr>
          <w:b/>
          <w:bCs/>
          <w:sz w:val="24"/>
          <w:lang w:val="en-US"/>
        </w:rPr>
        <w:t>Title:</w:t>
      </w:r>
      <w:r w:rsidRPr="00B43818">
        <w:rPr>
          <w:b/>
          <w:bCs/>
          <w:sz w:val="24"/>
          <w:lang w:val="en-US"/>
        </w:rPr>
        <w:tab/>
      </w:r>
      <w:r w:rsidR="0087229F" w:rsidRPr="00B43818">
        <w:rPr>
          <w:b/>
          <w:bCs/>
          <w:sz w:val="24"/>
          <w:lang w:val="en-US"/>
        </w:rPr>
        <w:t>On</w:t>
      </w:r>
      <w:r w:rsidR="000D503F" w:rsidRPr="00B43818">
        <w:rPr>
          <w:b/>
          <w:bCs/>
          <w:sz w:val="24"/>
          <w:lang w:val="en-US"/>
        </w:rPr>
        <w:t xml:space="preserve"> </w:t>
      </w:r>
      <w:r w:rsidR="00F33FBA">
        <w:rPr>
          <w:b/>
          <w:bCs/>
          <w:sz w:val="24"/>
          <w:lang w:val="en-US"/>
        </w:rPr>
        <w:t>NR-PDCCH Design</w:t>
      </w:r>
    </w:p>
    <w:p w14:paraId="20F2A3ED" w14:textId="45C3877F" w:rsidR="00FA20F7" w:rsidRPr="00B43818" w:rsidRDefault="00A51E32" w:rsidP="00FA20F7">
      <w:pPr>
        <w:ind w:left="1985" w:hanging="1985"/>
        <w:rPr>
          <w:b/>
          <w:bCs/>
          <w:sz w:val="24"/>
          <w:lang w:val="en-US"/>
        </w:rPr>
      </w:pPr>
      <w:r w:rsidRPr="00B43818">
        <w:rPr>
          <w:b/>
          <w:bCs/>
          <w:sz w:val="24"/>
          <w:lang w:val="en-US"/>
        </w:rPr>
        <w:t>Document for:</w:t>
      </w:r>
      <w:r w:rsidRPr="00B43818">
        <w:rPr>
          <w:b/>
          <w:bCs/>
          <w:sz w:val="24"/>
          <w:lang w:val="en-US"/>
        </w:rPr>
        <w:tab/>
        <w:t>Discussion</w:t>
      </w:r>
      <w:r w:rsidR="00CD15BB" w:rsidRPr="00B43818">
        <w:rPr>
          <w:b/>
          <w:bCs/>
          <w:sz w:val="24"/>
          <w:lang w:val="en-US"/>
        </w:rPr>
        <w:t xml:space="preserve"> and Decision</w:t>
      </w:r>
    </w:p>
    <w:p w14:paraId="7931F0A5" w14:textId="77777777" w:rsidR="00A0293F" w:rsidRPr="00B43818" w:rsidRDefault="00A0293F" w:rsidP="00FA20F7">
      <w:pPr>
        <w:ind w:left="1985" w:hanging="1985"/>
        <w:rPr>
          <w:b/>
          <w:bCs/>
          <w:sz w:val="24"/>
          <w:lang w:val="en-US"/>
        </w:rPr>
      </w:pPr>
    </w:p>
    <w:p w14:paraId="45A92109" w14:textId="77777777" w:rsidR="00261A3A" w:rsidRPr="00B43818" w:rsidRDefault="00A35469" w:rsidP="00C34D28">
      <w:pPr>
        <w:pStyle w:val="Heading1"/>
        <w:rPr>
          <w:rFonts w:ascii="Times New Roman" w:hAnsi="Times New Roman"/>
          <w:b/>
          <w:sz w:val="32"/>
          <w:szCs w:val="32"/>
        </w:rPr>
      </w:pPr>
      <w:r w:rsidRPr="00B43818">
        <w:rPr>
          <w:rFonts w:ascii="Times New Roman" w:hAnsi="Times New Roman"/>
          <w:b/>
          <w:sz w:val="32"/>
          <w:szCs w:val="32"/>
        </w:rPr>
        <w:t>Introduction</w:t>
      </w:r>
    </w:p>
    <w:p w14:paraId="23393C89" w14:textId="3736F5B7" w:rsidR="00EA7656" w:rsidRDefault="00453980" w:rsidP="004555E3">
      <w:pPr>
        <w:rPr>
          <w:szCs w:val="22"/>
        </w:rPr>
      </w:pPr>
      <w:r w:rsidRPr="00B43818">
        <w:rPr>
          <w:szCs w:val="22"/>
        </w:rPr>
        <w:t>In RAN</w:t>
      </w:r>
      <w:r w:rsidR="004555E3" w:rsidRPr="00B43818">
        <w:rPr>
          <w:szCs w:val="22"/>
        </w:rPr>
        <w:t>1</w:t>
      </w:r>
      <w:r w:rsidRPr="00B43818">
        <w:rPr>
          <w:szCs w:val="22"/>
        </w:rPr>
        <w:t xml:space="preserve"> </w:t>
      </w:r>
      <w:r w:rsidR="00EA7656">
        <w:rPr>
          <w:szCs w:val="22"/>
        </w:rPr>
        <w:t xml:space="preserve">Ad Hoc </w:t>
      </w:r>
      <w:r w:rsidR="005266DD" w:rsidRPr="00B43818">
        <w:rPr>
          <w:szCs w:val="22"/>
        </w:rPr>
        <w:t>Meeting</w:t>
      </w:r>
      <w:r w:rsidR="00C66A49" w:rsidRPr="00B43818">
        <w:rPr>
          <w:szCs w:val="22"/>
        </w:rPr>
        <w:t xml:space="preserve"> </w:t>
      </w:r>
      <w:r w:rsidR="005266DD" w:rsidRPr="00B43818">
        <w:rPr>
          <w:szCs w:val="22"/>
        </w:rPr>
        <w:fldChar w:fldCharType="begin"/>
      </w:r>
      <w:r w:rsidR="005266DD" w:rsidRPr="00B43818">
        <w:rPr>
          <w:szCs w:val="22"/>
        </w:rPr>
        <w:instrText xml:space="preserve"> REF _Ref455734493 \r \h </w:instrText>
      </w:r>
      <w:r w:rsidR="00C66A49" w:rsidRPr="00B43818">
        <w:rPr>
          <w:szCs w:val="22"/>
        </w:rPr>
        <w:instrText xml:space="preserve"> \* MERGEFORMAT </w:instrText>
      </w:r>
      <w:r w:rsidR="005266DD" w:rsidRPr="00B43818">
        <w:rPr>
          <w:szCs w:val="22"/>
        </w:rPr>
      </w:r>
      <w:r w:rsidR="005266DD" w:rsidRPr="00B43818">
        <w:rPr>
          <w:szCs w:val="22"/>
        </w:rPr>
        <w:fldChar w:fldCharType="separate"/>
      </w:r>
      <w:r w:rsidR="005266DD" w:rsidRPr="00B43818">
        <w:rPr>
          <w:szCs w:val="22"/>
        </w:rPr>
        <w:t>[1]</w:t>
      </w:r>
      <w:r w:rsidR="005266DD" w:rsidRPr="00B43818">
        <w:rPr>
          <w:szCs w:val="22"/>
        </w:rPr>
        <w:fldChar w:fldCharType="end"/>
      </w:r>
      <w:r w:rsidR="005266DD" w:rsidRPr="00B43818">
        <w:rPr>
          <w:szCs w:val="22"/>
        </w:rPr>
        <w:t xml:space="preserve">, </w:t>
      </w:r>
      <w:r w:rsidR="00C66A49" w:rsidRPr="00B43818">
        <w:rPr>
          <w:szCs w:val="22"/>
        </w:rPr>
        <w:t xml:space="preserve">there were agreements about </w:t>
      </w:r>
      <w:r w:rsidR="001517A7">
        <w:rPr>
          <w:szCs w:val="22"/>
        </w:rPr>
        <w:t>the structure of NR-PDCCH:</w:t>
      </w:r>
    </w:p>
    <w:p w14:paraId="74DD5060" w14:textId="62E26B3F" w:rsidR="004555E3" w:rsidRPr="00F17D79" w:rsidRDefault="00737985" w:rsidP="004555E3">
      <w:pPr>
        <w:rPr>
          <w:szCs w:val="22"/>
        </w:rPr>
      </w:pPr>
      <w:r w:rsidRPr="00F17D79">
        <w:rPr>
          <w:szCs w:val="22"/>
        </w:rPr>
        <w:t xml:space="preserve"> </w:t>
      </w:r>
    </w:p>
    <w:p w14:paraId="7B324076" w14:textId="77777777" w:rsidR="001517A7" w:rsidRPr="00F17D79" w:rsidRDefault="001517A7" w:rsidP="001517A7">
      <w:pPr>
        <w:rPr>
          <w:rFonts w:eastAsia="MS Mincho"/>
          <w:b/>
          <w:i/>
          <w:u w:val="single"/>
          <w:lang w:eastAsia="ja-JP"/>
        </w:rPr>
      </w:pPr>
      <w:r w:rsidRPr="00F17D79">
        <w:rPr>
          <w:rFonts w:eastAsia="MS Mincho"/>
          <w:b/>
          <w:i/>
          <w:u w:val="single"/>
          <w:lang w:eastAsia="ja-JP"/>
        </w:rPr>
        <w:t>Agreements:</w:t>
      </w:r>
    </w:p>
    <w:p w14:paraId="51DFD73E" w14:textId="77777777" w:rsidR="001517A7" w:rsidRPr="00F17D79" w:rsidRDefault="001517A7" w:rsidP="001517A7">
      <w:pPr>
        <w:numPr>
          <w:ilvl w:val="0"/>
          <w:numId w:val="18"/>
        </w:numPr>
        <w:overflowPunct/>
        <w:autoSpaceDE/>
        <w:autoSpaceDN/>
        <w:adjustRightInd/>
        <w:spacing w:after="0"/>
        <w:jc w:val="left"/>
        <w:textAlignment w:val="auto"/>
        <w:rPr>
          <w:i/>
        </w:rPr>
      </w:pPr>
      <w:r w:rsidRPr="00F17D79">
        <w:rPr>
          <w:i/>
        </w:rPr>
        <w:t>NR supports at least following functionalities</w:t>
      </w:r>
    </w:p>
    <w:p w14:paraId="1351406A" w14:textId="77777777" w:rsidR="001517A7" w:rsidRPr="00F17D79" w:rsidRDefault="001517A7" w:rsidP="001517A7">
      <w:pPr>
        <w:numPr>
          <w:ilvl w:val="1"/>
          <w:numId w:val="18"/>
        </w:numPr>
        <w:overflowPunct/>
        <w:autoSpaceDE/>
        <w:autoSpaceDN/>
        <w:adjustRightInd/>
        <w:spacing w:after="0"/>
        <w:textAlignment w:val="auto"/>
        <w:rPr>
          <w:b/>
          <w:i/>
        </w:rPr>
      </w:pPr>
      <w:r w:rsidRPr="00F17D79">
        <w:rPr>
          <w:rFonts w:eastAsia="MS Mincho"/>
          <w:i/>
          <w:lang w:eastAsia="ja-JP"/>
        </w:rPr>
        <w:t xml:space="preserve">At least for </w:t>
      </w:r>
      <w:proofErr w:type="spellStart"/>
      <w:r w:rsidRPr="00F17D79">
        <w:rPr>
          <w:rFonts w:eastAsia="MS Mincho"/>
          <w:i/>
          <w:lang w:eastAsia="ja-JP"/>
        </w:rPr>
        <w:t>eMBB</w:t>
      </w:r>
      <w:proofErr w:type="spellEnd"/>
      <w:r w:rsidRPr="00F17D79">
        <w:rPr>
          <w:rFonts w:eastAsia="MS Mincho"/>
          <w:i/>
          <w:lang w:eastAsia="ja-JP"/>
        </w:rPr>
        <w:t>, i</w:t>
      </w:r>
      <w:r w:rsidRPr="00F17D79">
        <w:rPr>
          <w:i/>
        </w:rPr>
        <w:t>n one OFDM symbol, multiple CCEs cannot be transmitted on the same PRB except for spatial multiplexing to different UEs (MU-MIMO)</w:t>
      </w:r>
    </w:p>
    <w:p w14:paraId="2F20E2A6" w14:textId="77777777" w:rsidR="001517A7" w:rsidRPr="00F17D79" w:rsidRDefault="001517A7" w:rsidP="001517A7">
      <w:pPr>
        <w:numPr>
          <w:ilvl w:val="1"/>
          <w:numId w:val="18"/>
        </w:numPr>
        <w:overflowPunct/>
        <w:autoSpaceDE/>
        <w:autoSpaceDN/>
        <w:adjustRightInd/>
        <w:spacing w:after="0"/>
        <w:textAlignment w:val="auto"/>
        <w:rPr>
          <w:b/>
          <w:i/>
        </w:rPr>
      </w:pPr>
      <w:r w:rsidRPr="00F17D79">
        <w:rPr>
          <w:i/>
        </w:rPr>
        <w:t>A PDCCH candidate consists of a set of CCEs. A CCE consists of a set of REGs. A REG is one RB during one OFDM symbol.</w:t>
      </w:r>
    </w:p>
    <w:p w14:paraId="1BA3C05D" w14:textId="77777777" w:rsidR="001517A7" w:rsidRPr="00F17D79" w:rsidRDefault="001517A7" w:rsidP="001517A7">
      <w:pPr>
        <w:pStyle w:val="BodyText"/>
        <w:numPr>
          <w:ilvl w:val="1"/>
          <w:numId w:val="18"/>
        </w:numPr>
        <w:overflowPunct/>
        <w:autoSpaceDE/>
        <w:autoSpaceDN/>
        <w:adjustRightInd/>
        <w:spacing w:after="0"/>
        <w:textAlignment w:val="auto"/>
        <w:rPr>
          <w:rFonts w:ascii="Times New Roman" w:hAnsi="Times New Roman"/>
          <w:i/>
        </w:rPr>
      </w:pPr>
      <w:r w:rsidRPr="00F17D79">
        <w:rPr>
          <w:rFonts w:ascii="Times New Roman" w:hAnsi="Times New Roman"/>
          <w:i/>
        </w:rPr>
        <w:t>For one UE, the channel estimate obtained for one R</w:t>
      </w:r>
      <w:r w:rsidRPr="00F17D79">
        <w:rPr>
          <w:rFonts w:ascii="Times New Roman" w:eastAsia="MS Mincho" w:hAnsi="Times New Roman"/>
          <w:i/>
          <w:lang w:eastAsia="ja-JP"/>
        </w:rPr>
        <w:t>E</w:t>
      </w:r>
      <w:r w:rsidRPr="00F17D79">
        <w:rPr>
          <w:rFonts w:ascii="Times New Roman" w:hAnsi="Times New Roman"/>
          <w:i/>
        </w:rPr>
        <w:t xml:space="preserve"> </w:t>
      </w:r>
      <w:r w:rsidRPr="00F17D79">
        <w:rPr>
          <w:rFonts w:ascii="Times New Roman" w:eastAsia="MS Mincho" w:hAnsi="Times New Roman"/>
          <w:i/>
          <w:lang w:eastAsia="ja-JP"/>
        </w:rPr>
        <w:t>should be</w:t>
      </w:r>
      <w:r w:rsidRPr="00F17D79">
        <w:rPr>
          <w:rFonts w:ascii="Times New Roman" w:hAnsi="Times New Roman"/>
          <w:i/>
        </w:rPr>
        <w:t xml:space="preserve"> reusable across multiple blind </w:t>
      </w:r>
      <w:proofErr w:type="spellStart"/>
      <w:r w:rsidRPr="00F17D79">
        <w:rPr>
          <w:rFonts w:ascii="Times New Roman" w:hAnsi="Times New Roman"/>
          <w:i/>
        </w:rPr>
        <w:t>decodings</w:t>
      </w:r>
      <w:proofErr w:type="spellEnd"/>
      <w:r w:rsidRPr="00F17D79">
        <w:rPr>
          <w:rFonts w:ascii="Times New Roman" w:hAnsi="Times New Roman"/>
          <w:i/>
        </w:rPr>
        <w:t xml:space="preserve"> involving that R</w:t>
      </w:r>
      <w:r w:rsidRPr="00F17D79">
        <w:rPr>
          <w:rFonts w:ascii="Times New Roman" w:eastAsia="MS Mincho" w:hAnsi="Times New Roman"/>
          <w:i/>
          <w:lang w:eastAsia="ja-JP"/>
        </w:rPr>
        <w:t>E in at least the same control resource set and type of search space (common or UE-specific).</w:t>
      </w:r>
    </w:p>
    <w:p w14:paraId="74178341" w14:textId="77777777" w:rsidR="001517A7" w:rsidRPr="00F17D79" w:rsidRDefault="001517A7" w:rsidP="001517A7">
      <w:pPr>
        <w:numPr>
          <w:ilvl w:val="1"/>
          <w:numId w:val="18"/>
        </w:numPr>
        <w:overflowPunct/>
        <w:autoSpaceDE/>
        <w:autoSpaceDN/>
        <w:adjustRightInd/>
        <w:spacing w:after="0"/>
        <w:textAlignment w:val="auto"/>
        <w:rPr>
          <w:b/>
          <w:i/>
        </w:rPr>
      </w:pPr>
      <w:r w:rsidRPr="00F17D79">
        <w:rPr>
          <w:rFonts w:eastAsia="MS Mincho"/>
          <w:i/>
          <w:lang w:eastAsia="ja-JP"/>
        </w:rPr>
        <w:t>At least for DL data scheduled for a slot, t</w:t>
      </w:r>
      <w:r w:rsidRPr="00F17D79">
        <w:rPr>
          <w:i/>
        </w:rPr>
        <w:t xml:space="preserve">he DL </w:t>
      </w:r>
      <w:r w:rsidRPr="00F17D79">
        <w:rPr>
          <w:rFonts w:eastAsia="MS Mincho"/>
          <w:i/>
          <w:lang w:eastAsia="ja-JP"/>
        </w:rPr>
        <w:t xml:space="preserve">data </w:t>
      </w:r>
      <w:r w:rsidRPr="00F17D79">
        <w:rPr>
          <w:i/>
        </w:rPr>
        <w:t xml:space="preserve">DMRS location in time </w:t>
      </w:r>
      <w:r w:rsidRPr="00F17D79">
        <w:rPr>
          <w:rFonts w:eastAsia="MS Mincho"/>
          <w:i/>
          <w:lang w:eastAsia="ja-JP"/>
        </w:rPr>
        <w:t>is not dynamically varying relative to the start of slot</w:t>
      </w:r>
    </w:p>
    <w:p w14:paraId="0BCE4B5A" w14:textId="77777777" w:rsidR="001517A7" w:rsidRPr="00F17D79" w:rsidRDefault="001517A7" w:rsidP="001517A7">
      <w:pPr>
        <w:rPr>
          <w:rFonts w:eastAsia="MS Mincho"/>
          <w:b/>
          <w:i/>
          <w:u w:val="single"/>
          <w:lang w:eastAsia="ja-JP"/>
        </w:rPr>
      </w:pPr>
      <w:r w:rsidRPr="00F17D79">
        <w:rPr>
          <w:rFonts w:eastAsia="MS Mincho"/>
          <w:b/>
          <w:i/>
          <w:u w:val="single"/>
          <w:lang w:eastAsia="ja-JP"/>
        </w:rPr>
        <w:t>Agreements:</w:t>
      </w:r>
    </w:p>
    <w:p w14:paraId="042D6FB3" w14:textId="77777777" w:rsidR="001517A7" w:rsidRPr="00F17D79" w:rsidRDefault="001517A7" w:rsidP="001517A7">
      <w:pPr>
        <w:numPr>
          <w:ilvl w:val="0"/>
          <w:numId w:val="19"/>
        </w:numPr>
        <w:overflowPunct/>
        <w:autoSpaceDE/>
        <w:autoSpaceDN/>
        <w:adjustRightInd/>
        <w:spacing w:after="0"/>
        <w:jc w:val="left"/>
        <w:textAlignment w:val="auto"/>
        <w:rPr>
          <w:rFonts w:eastAsia="MS Mincho"/>
          <w:i/>
          <w:lang w:val="en-US" w:eastAsia="ja-JP"/>
        </w:rPr>
      </w:pPr>
      <w:r w:rsidRPr="00F17D79">
        <w:rPr>
          <w:rFonts w:eastAsia="MS Mincho"/>
          <w:i/>
          <w:lang w:eastAsia="ja-JP"/>
        </w:rPr>
        <w:t xml:space="preserve">Each candidate of NR DL Control channel search space is composed by </w:t>
      </w:r>
      <w:r w:rsidRPr="00F17D79">
        <w:rPr>
          <w:rFonts w:eastAsia="MS Mincho"/>
          <w:i/>
          <w:iCs/>
          <w:lang w:val="en-US" w:eastAsia="ja-JP"/>
        </w:rPr>
        <w:t>K</w:t>
      </w:r>
      <w:r w:rsidRPr="00F17D79">
        <w:rPr>
          <w:rFonts w:eastAsia="MS Mincho"/>
          <w:i/>
          <w:lang w:eastAsia="ja-JP"/>
        </w:rPr>
        <w:t xml:space="preserve"> NR-CCE(s)</w:t>
      </w:r>
    </w:p>
    <w:p w14:paraId="5E22DBC0" w14:textId="77777777" w:rsidR="001517A7" w:rsidRPr="00F17D79" w:rsidRDefault="001517A7" w:rsidP="001517A7">
      <w:pPr>
        <w:numPr>
          <w:ilvl w:val="1"/>
          <w:numId w:val="19"/>
        </w:numPr>
        <w:overflowPunct/>
        <w:autoSpaceDE/>
        <w:autoSpaceDN/>
        <w:adjustRightInd/>
        <w:spacing w:after="0"/>
        <w:jc w:val="left"/>
        <w:textAlignment w:val="auto"/>
        <w:rPr>
          <w:rFonts w:eastAsia="MS Mincho"/>
          <w:i/>
          <w:lang w:val="en-US" w:eastAsia="ja-JP"/>
        </w:rPr>
      </w:pPr>
      <w:r w:rsidRPr="00F17D79">
        <w:rPr>
          <w:rFonts w:eastAsia="MS Mincho"/>
          <w:i/>
          <w:lang w:val="en-US" w:eastAsia="ja-JP"/>
        </w:rPr>
        <w:t>A NR-CCE is defined in fixed number of REGs</w:t>
      </w:r>
    </w:p>
    <w:p w14:paraId="7A5537A7" w14:textId="77777777" w:rsidR="001517A7" w:rsidRPr="00F17D79" w:rsidRDefault="001517A7" w:rsidP="001517A7">
      <w:pPr>
        <w:numPr>
          <w:ilvl w:val="2"/>
          <w:numId w:val="19"/>
        </w:numPr>
        <w:overflowPunct/>
        <w:autoSpaceDE/>
        <w:autoSpaceDN/>
        <w:adjustRightInd/>
        <w:spacing w:after="0"/>
        <w:jc w:val="left"/>
        <w:textAlignment w:val="auto"/>
        <w:rPr>
          <w:rFonts w:eastAsia="MS Mincho"/>
          <w:i/>
          <w:lang w:val="en-US" w:eastAsia="ja-JP"/>
        </w:rPr>
      </w:pPr>
      <w:r w:rsidRPr="00F17D79">
        <w:rPr>
          <w:rFonts w:eastAsia="MS Mincho"/>
          <w:i/>
          <w:lang w:val="en-US" w:eastAsia="ja-JP"/>
        </w:rPr>
        <w:t>FFS: Different REGs can be in the same or different symbols depending on REG to NR-CCE mapping</w:t>
      </w:r>
    </w:p>
    <w:p w14:paraId="3244F8E1" w14:textId="77777777" w:rsidR="001517A7" w:rsidRPr="00F17D79" w:rsidRDefault="001517A7" w:rsidP="001517A7">
      <w:pPr>
        <w:numPr>
          <w:ilvl w:val="2"/>
          <w:numId w:val="19"/>
        </w:numPr>
        <w:overflowPunct/>
        <w:autoSpaceDE/>
        <w:autoSpaceDN/>
        <w:adjustRightInd/>
        <w:spacing w:after="0"/>
        <w:jc w:val="left"/>
        <w:textAlignment w:val="auto"/>
        <w:rPr>
          <w:rFonts w:eastAsia="MS Mincho"/>
          <w:i/>
          <w:lang w:val="en-US" w:eastAsia="ja-JP"/>
        </w:rPr>
      </w:pPr>
      <w:r w:rsidRPr="00F17D79">
        <w:rPr>
          <w:rFonts w:eastAsia="MS Mincho"/>
          <w:i/>
          <w:lang w:val="en-US" w:eastAsia="ja-JP"/>
        </w:rPr>
        <w:t xml:space="preserve">FFS: NR-CCE includes the REs assumed for </w:t>
      </w:r>
      <w:r w:rsidRPr="00F17D79">
        <w:rPr>
          <w:rFonts w:eastAsia="MS Mincho"/>
          <w:i/>
          <w:lang w:eastAsia="ja-JP"/>
        </w:rPr>
        <w:t>UE-specific DMRS to demodulate that NR-CCE</w:t>
      </w:r>
    </w:p>
    <w:p w14:paraId="1B0CA948" w14:textId="77777777" w:rsidR="001517A7" w:rsidRPr="00F17D79" w:rsidRDefault="001517A7" w:rsidP="001517A7">
      <w:pPr>
        <w:numPr>
          <w:ilvl w:val="1"/>
          <w:numId w:val="19"/>
        </w:numPr>
        <w:overflowPunct/>
        <w:autoSpaceDE/>
        <w:autoSpaceDN/>
        <w:adjustRightInd/>
        <w:spacing w:after="0"/>
        <w:jc w:val="left"/>
        <w:textAlignment w:val="auto"/>
        <w:rPr>
          <w:rFonts w:eastAsia="MS Mincho"/>
          <w:i/>
          <w:lang w:val="en-US" w:eastAsia="ja-JP"/>
        </w:rPr>
      </w:pPr>
      <w:r w:rsidRPr="00F17D79">
        <w:rPr>
          <w:rFonts w:eastAsia="MS Mincho"/>
          <w:i/>
          <w:lang w:val="en-US" w:eastAsia="ja-JP"/>
        </w:rPr>
        <w:t xml:space="preserve">FFS: REG to NR-CCE mapping within a control resource set is frequency first, time first or </w:t>
      </w:r>
      <w:proofErr w:type="spellStart"/>
      <w:r w:rsidRPr="00F17D79">
        <w:rPr>
          <w:rFonts w:eastAsia="MS Mincho"/>
          <w:i/>
          <w:lang w:val="en-US" w:eastAsia="ja-JP"/>
        </w:rPr>
        <w:t>gNB</w:t>
      </w:r>
      <w:proofErr w:type="spellEnd"/>
      <w:r w:rsidRPr="00F17D79">
        <w:rPr>
          <w:rFonts w:eastAsia="MS Mincho"/>
          <w:i/>
          <w:lang w:val="en-US" w:eastAsia="ja-JP"/>
        </w:rPr>
        <w:t xml:space="preserve"> configurable</w:t>
      </w:r>
    </w:p>
    <w:p w14:paraId="4FC6E4F4" w14:textId="77777777" w:rsidR="001517A7" w:rsidRPr="00F17D79" w:rsidRDefault="001517A7" w:rsidP="001517A7">
      <w:pPr>
        <w:numPr>
          <w:ilvl w:val="1"/>
          <w:numId w:val="19"/>
        </w:numPr>
        <w:overflowPunct/>
        <w:autoSpaceDE/>
        <w:autoSpaceDN/>
        <w:adjustRightInd/>
        <w:spacing w:after="0"/>
        <w:jc w:val="left"/>
        <w:textAlignment w:val="auto"/>
        <w:rPr>
          <w:rFonts w:eastAsia="MS Mincho"/>
          <w:i/>
          <w:lang w:val="en-US" w:eastAsia="ja-JP"/>
        </w:rPr>
      </w:pPr>
      <w:r w:rsidRPr="00F17D79">
        <w:rPr>
          <w:rFonts w:eastAsia="MS Mincho"/>
          <w:i/>
          <w:lang w:val="en-US" w:eastAsia="ja-JP"/>
        </w:rPr>
        <w:t>FFS: Down selection of REG to NR-CCE mapping</w:t>
      </w:r>
    </w:p>
    <w:p w14:paraId="1C4A4E84" w14:textId="77777777" w:rsidR="001517A7" w:rsidRPr="00F17D79" w:rsidRDefault="001517A7" w:rsidP="001517A7">
      <w:pPr>
        <w:numPr>
          <w:ilvl w:val="1"/>
          <w:numId w:val="19"/>
        </w:numPr>
        <w:overflowPunct/>
        <w:autoSpaceDE/>
        <w:autoSpaceDN/>
        <w:adjustRightInd/>
        <w:spacing w:after="0"/>
        <w:jc w:val="left"/>
        <w:textAlignment w:val="auto"/>
        <w:rPr>
          <w:rFonts w:eastAsia="MS Mincho"/>
          <w:i/>
          <w:lang w:val="en-US" w:eastAsia="ja-JP"/>
        </w:rPr>
      </w:pPr>
      <w:r w:rsidRPr="00F17D79">
        <w:rPr>
          <w:rFonts w:eastAsia="MS Mincho"/>
          <w:i/>
          <w:lang w:val="en-US" w:eastAsia="ja-JP"/>
        </w:rPr>
        <w:t>E.g. </w:t>
      </w:r>
      <w:r w:rsidRPr="00F17D79">
        <w:rPr>
          <w:rFonts w:eastAsia="MS Mincho"/>
          <w:i/>
          <w:iCs/>
          <w:lang w:val="en-US" w:eastAsia="ja-JP"/>
        </w:rPr>
        <w:t>K</w:t>
      </w:r>
      <w:r w:rsidRPr="00F17D79">
        <w:rPr>
          <w:rFonts w:eastAsia="MS Mincho"/>
          <w:i/>
          <w:lang w:val="en-US" w:eastAsia="ja-JP"/>
        </w:rPr>
        <w:t xml:space="preserve"> can be 1, 2, 4, or 8, </w:t>
      </w:r>
      <w:proofErr w:type="spellStart"/>
      <w:r w:rsidRPr="00F17D79">
        <w:rPr>
          <w:rFonts w:eastAsia="MS Mincho"/>
          <w:i/>
          <w:lang w:val="en-US" w:eastAsia="ja-JP"/>
        </w:rPr>
        <w:t>etc</w:t>
      </w:r>
      <w:proofErr w:type="spellEnd"/>
    </w:p>
    <w:p w14:paraId="38CF4B68" w14:textId="77777777" w:rsidR="001517A7" w:rsidRPr="00F17D79" w:rsidRDefault="001517A7" w:rsidP="001517A7">
      <w:pPr>
        <w:rPr>
          <w:rFonts w:eastAsia="MS Mincho"/>
          <w:b/>
          <w:i/>
          <w:u w:val="single"/>
          <w:lang w:eastAsia="ja-JP"/>
        </w:rPr>
      </w:pPr>
      <w:r w:rsidRPr="00F17D79">
        <w:rPr>
          <w:rFonts w:eastAsia="MS Mincho"/>
          <w:b/>
          <w:i/>
          <w:u w:val="single"/>
          <w:lang w:eastAsia="ja-JP"/>
        </w:rPr>
        <w:t>Agreements:</w:t>
      </w:r>
    </w:p>
    <w:p w14:paraId="038C97C5" w14:textId="77777777" w:rsidR="001517A7" w:rsidRPr="00F17D79" w:rsidRDefault="001517A7" w:rsidP="001517A7">
      <w:pPr>
        <w:numPr>
          <w:ilvl w:val="0"/>
          <w:numId w:val="20"/>
        </w:numPr>
        <w:overflowPunct/>
        <w:autoSpaceDE/>
        <w:autoSpaceDN/>
        <w:adjustRightInd/>
        <w:spacing w:after="0"/>
        <w:jc w:val="left"/>
        <w:textAlignment w:val="auto"/>
        <w:rPr>
          <w:rFonts w:eastAsia="MS Mincho"/>
          <w:i/>
          <w:lang w:val="en-US" w:eastAsia="ja-JP"/>
        </w:rPr>
      </w:pPr>
      <w:r w:rsidRPr="00F17D79">
        <w:rPr>
          <w:rFonts w:eastAsia="MS Mincho"/>
          <w:i/>
          <w:lang w:val="en-US" w:eastAsia="ja-JP"/>
        </w:rPr>
        <w:t>A control resource set is defined as a set of REGs under a given numerology</w:t>
      </w:r>
    </w:p>
    <w:p w14:paraId="43A722E1" w14:textId="77777777" w:rsidR="001517A7" w:rsidRPr="00F17D79" w:rsidRDefault="001517A7" w:rsidP="001517A7">
      <w:pPr>
        <w:numPr>
          <w:ilvl w:val="0"/>
          <w:numId w:val="20"/>
        </w:numPr>
        <w:overflowPunct/>
        <w:autoSpaceDE/>
        <w:autoSpaceDN/>
        <w:adjustRightInd/>
        <w:spacing w:after="0"/>
        <w:jc w:val="left"/>
        <w:textAlignment w:val="auto"/>
        <w:rPr>
          <w:rFonts w:eastAsia="MS Mincho"/>
          <w:i/>
          <w:lang w:val="en-US" w:eastAsia="ja-JP"/>
        </w:rPr>
      </w:pPr>
      <w:r w:rsidRPr="00F17D79">
        <w:rPr>
          <w:rFonts w:eastAsia="MS Mincho"/>
          <w:i/>
          <w:lang w:val="en-US" w:eastAsia="ja-JP"/>
        </w:rPr>
        <w:t>Control search space includes at least the following properties</w:t>
      </w:r>
    </w:p>
    <w:p w14:paraId="7DF1E20F" w14:textId="77777777" w:rsidR="001517A7" w:rsidRPr="00F17D79" w:rsidRDefault="001517A7" w:rsidP="001517A7">
      <w:pPr>
        <w:numPr>
          <w:ilvl w:val="1"/>
          <w:numId w:val="20"/>
        </w:numPr>
        <w:overflowPunct/>
        <w:autoSpaceDE/>
        <w:autoSpaceDN/>
        <w:adjustRightInd/>
        <w:spacing w:after="0"/>
        <w:jc w:val="left"/>
        <w:textAlignment w:val="auto"/>
        <w:rPr>
          <w:rFonts w:eastAsia="MS Mincho"/>
          <w:i/>
          <w:lang w:val="en-US" w:eastAsia="ja-JP"/>
        </w:rPr>
      </w:pPr>
      <w:r w:rsidRPr="00F17D79">
        <w:rPr>
          <w:rFonts w:eastAsia="MS Mincho"/>
          <w:i/>
          <w:lang w:val="en-US" w:eastAsia="ja-JP"/>
        </w:rPr>
        <w:t>Aggregation level(s)</w:t>
      </w:r>
    </w:p>
    <w:p w14:paraId="437A4EDD" w14:textId="77777777" w:rsidR="001517A7" w:rsidRPr="00F17D79" w:rsidRDefault="001517A7" w:rsidP="001517A7">
      <w:pPr>
        <w:numPr>
          <w:ilvl w:val="1"/>
          <w:numId w:val="20"/>
        </w:numPr>
        <w:overflowPunct/>
        <w:autoSpaceDE/>
        <w:autoSpaceDN/>
        <w:adjustRightInd/>
        <w:spacing w:after="0"/>
        <w:jc w:val="left"/>
        <w:textAlignment w:val="auto"/>
        <w:rPr>
          <w:rFonts w:eastAsia="MS Mincho"/>
          <w:i/>
          <w:lang w:val="en-US" w:eastAsia="ja-JP"/>
        </w:rPr>
      </w:pPr>
      <w:r w:rsidRPr="00F17D79">
        <w:rPr>
          <w:rFonts w:eastAsia="MS Mincho"/>
          <w:i/>
          <w:lang w:val="en-US" w:eastAsia="ja-JP"/>
        </w:rPr>
        <w:t>Number of decoding candidates for each aggregation level</w:t>
      </w:r>
    </w:p>
    <w:p w14:paraId="4630400A" w14:textId="77777777" w:rsidR="001517A7" w:rsidRPr="00F17D79" w:rsidRDefault="001517A7" w:rsidP="001517A7">
      <w:pPr>
        <w:numPr>
          <w:ilvl w:val="1"/>
          <w:numId w:val="20"/>
        </w:numPr>
        <w:overflowPunct/>
        <w:autoSpaceDE/>
        <w:autoSpaceDN/>
        <w:adjustRightInd/>
        <w:spacing w:after="0"/>
        <w:jc w:val="left"/>
        <w:textAlignment w:val="auto"/>
        <w:rPr>
          <w:rFonts w:eastAsia="MS Mincho"/>
          <w:i/>
          <w:lang w:val="en-US" w:eastAsia="ja-JP"/>
        </w:rPr>
      </w:pPr>
      <w:r w:rsidRPr="00F17D79">
        <w:rPr>
          <w:rFonts w:eastAsia="MS Mincho"/>
          <w:i/>
          <w:lang w:val="en-US" w:eastAsia="ja-JP"/>
        </w:rPr>
        <w:t>The set of CCEs for each decoding candidate</w:t>
      </w:r>
    </w:p>
    <w:p w14:paraId="44158B9C" w14:textId="77777777" w:rsidR="001517A7" w:rsidRPr="00F17D79" w:rsidRDefault="001517A7" w:rsidP="001517A7">
      <w:pPr>
        <w:numPr>
          <w:ilvl w:val="0"/>
          <w:numId w:val="20"/>
        </w:numPr>
        <w:overflowPunct/>
        <w:autoSpaceDE/>
        <w:autoSpaceDN/>
        <w:adjustRightInd/>
        <w:spacing w:after="0"/>
        <w:jc w:val="left"/>
        <w:textAlignment w:val="auto"/>
        <w:rPr>
          <w:rFonts w:eastAsia="MS Mincho"/>
          <w:i/>
          <w:lang w:val="en-US" w:eastAsia="ja-JP"/>
        </w:rPr>
      </w:pPr>
      <w:r w:rsidRPr="00F17D79">
        <w:rPr>
          <w:rFonts w:eastAsia="MS Mincho"/>
          <w:i/>
          <w:lang w:val="en-US" w:eastAsia="ja-JP"/>
        </w:rPr>
        <w:t>FFS: if any of the following properties belong to control resource set or control search space</w:t>
      </w:r>
    </w:p>
    <w:p w14:paraId="0999C08F" w14:textId="77777777" w:rsidR="001517A7" w:rsidRPr="00F17D79" w:rsidRDefault="001517A7" w:rsidP="001517A7">
      <w:pPr>
        <w:numPr>
          <w:ilvl w:val="1"/>
          <w:numId w:val="20"/>
        </w:numPr>
        <w:overflowPunct/>
        <w:autoSpaceDE/>
        <w:autoSpaceDN/>
        <w:adjustRightInd/>
        <w:spacing w:after="0"/>
        <w:jc w:val="left"/>
        <w:textAlignment w:val="auto"/>
        <w:rPr>
          <w:rFonts w:eastAsia="MS Mincho"/>
          <w:i/>
          <w:lang w:val="en-US" w:eastAsia="ja-JP"/>
        </w:rPr>
      </w:pPr>
      <w:r w:rsidRPr="00F17D79">
        <w:rPr>
          <w:rFonts w:eastAsia="MS Mincho"/>
          <w:i/>
          <w:lang w:val="en-US" w:eastAsia="ja-JP"/>
        </w:rPr>
        <w:t>Transmission/diversity scheme</w:t>
      </w:r>
    </w:p>
    <w:p w14:paraId="6A7CDC1A" w14:textId="77777777" w:rsidR="001517A7" w:rsidRPr="00F17D79" w:rsidRDefault="001517A7" w:rsidP="001517A7">
      <w:pPr>
        <w:numPr>
          <w:ilvl w:val="1"/>
          <w:numId w:val="20"/>
        </w:numPr>
        <w:overflowPunct/>
        <w:autoSpaceDE/>
        <w:autoSpaceDN/>
        <w:adjustRightInd/>
        <w:spacing w:after="0"/>
        <w:jc w:val="left"/>
        <w:textAlignment w:val="auto"/>
        <w:rPr>
          <w:rFonts w:eastAsia="MS Mincho"/>
          <w:i/>
          <w:lang w:val="en-US" w:eastAsia="ja-JP"/>
        </w:rPr>
      </w:pPr>
      <w:r w:rsidRPr="00F17D79">
        <w:rPr>
          <w:rFonts w:eastAsia="MS Mincho"/>
          <w:i/>
          <w:lang w:val="en-US" w:eastAsia="ja-JP"/>
        </w:rPr>
        <w:t>CCE to REG mapping</w:t>
      </w:r>
    </w:p>
    <w:p w14:paraId="5314CD73" w14:textId="77777777" w:rsidR="001517A7" w:rsidRPr="00F17D79" w:rsidRDefault="001517A7" w:rsidP="001517A7">
      <w:pPr>
        <w:numPr>
          <w:ilvl w:val="1"/>
          <w:numId w:val="20"/>
        </w:numPr>
        <w:overflowPunct/>
        <w:autoSpaceDE/>
        <w:autoSpaceDN/>
        <w:adjustRightInd/>
        <w:spacing w:after="0"/>
        <w:jc w:val="left"/>
        <w:textAlignment w:val="auto"/>
        <w:rPr>
          <w:rFonts w:eastAsia="MS Mincho"/>
          <w:i/>
          <w:lang w:val="en-US" w:eastAsia="ja-JP"/>
        </w:rPr>
      </w:pPr>
      <w:r w:rsidRPr="00F17D79">
        <w:rPr>
          <w:rFonts w:eastAsia="MS Mincho"/>
          <w:i/>
          <w:lang w:val="en-US" w:eastAsia="ja-JP"/>
        </w:rPr>
        <w:t>RS structure</w:t>
      </w:r>
    </w:p>
    <w:p w14:paraId="601AA638" w14:textId="77777777" w:rsidR="001517A7" w:rsidRPr="00F17D79" w:rsidRDefault="001517A7" w:rsidP="001517A7">
      <w:pPr>
        <w:numPr>
          <w:ilvl w:val="1"/>
          <w:numId w:val="20"/>
        </w:numPr>
        <w:overflowPunct/>
        <w:autoSpaceDE/>
        <w:autoSpaceDN/>
        <w:adjustRightInd/>
        <w:spacing w:after="0"/>
        <w:jc w:val="left"/>
        <w:textAlignment w:val="auto"/>
        <w:rPr>
          <w:rFonts w:eastAsia="MS Mincho"/>
          <w:i/>
          <w:lang w:val="en-US" w:eastAsia="ja-JP"/>
        </w:rPr>
      </w:pPr>
      <w:r w:rsidRPr="00F17D79">
        <w:rPr>
          <w:rFonts w:eastAsia="MS Mincho"/>
          <w:i/>
          <w:lang w:val="en-US" w:eastAsia="ja-JP"/>
        </w:rPr>
        <w:t>PRB bundling size</w:t>
      </w:r>
    </w:p>
    <w:p w14:paraId="79678C54" w14:textId="77777777" w:rsidR="001517A7" w:rsidRPr="00F17D79" w:rsidRDefault="001517A7" w:rsidP="001517A7">
      <w:pPr>
        <w:numPr>
          <w:ilvl w:val="0"/>
          <w:numId w:val="20"/>
        </w:numPr>
        <w:overflowPunct/>
        <w:autoSpaceDE/>
        <w:autoSpaceDN/>
        <w:adjustRightInd/>
        <w:spacing w:after="0"/>
        <w:jc w:val="left"/>
        <w:textAlignment w:val="auto"/>
        <w:rPr>
          <w:rFonts w:eastAsia="MS Mincho"/>
          <w:i/>
          <w:lang w:val="en-US" w:eastAsia="ja-JP"/>
        </w:rPr>
      </w:pPr>
      <w:r w:rsidRPr="00F17D79">
        <w:rPr>
          <w:rFonts w:eastAsia="MS Mincho"/>
          <w:i/>
          <w:lang w:val="en-US" w:eastAsia="ja-JP"/>
        </w:rPr>
        <w:t>FFS: if the control resource sets can overlap or not</w:t>
      </w:r>
    </w:p>
    <w:p w14:paraId="147F787E" w14:textId="77777777" w:rsidR="001517A7" w:rsidRPr="00F17D79" w:rsidRDefault="001517A7" w:rsidP="001517A7">
      <w:pPr>
        <w:numPr>
          <w:ilvl w:val="0"/>
          <w:numId w:val="20"/>
        </w:numPr>
        <w:overflowPunct/>
        <w:autoSpaceDE/>
        <w:autoSpaceDN/>
        <w:adjustRightInd/>
        <w:spacing w:after="0"/>
        <w:jc w:val="left"/>
        <w:textAlignment w:val="auto"/>
        <w:rPr>
          <w:rFonts w:eastAsia="MS Mincho"/>
          <w:lang w:val="en-US" w:eastAsia="ja-JP"/>
        </w:rPr>
      </w:pPr>
      <w:r w:rsidRPr="00F17D79">
        <w:rPr>
          <w:rFonts w:eastAsia="MS Mincho"/>
          <w:i/>
          <w:lang w:val="en-US" w:eastAsia="ja-JP"/>
        </w:rPr>
        <w:t>FFS: whether the mapping between control resource set and control search space is one-to-one or one-to-many</w:t>
      </w:r>
      <w:r w:rsidRPr="00F17D79">
        <w:rPr>
          <w:rFonts w:eastAsia="MS Mincho"/>
          <w:lang w:val="en-US" w:eastAsia="ja-JP"/>
        </w:rPr>
        <w:t xml:space="preserve"> </w:t>
      </w:r>
    </w:p>
    <w:p w14:paraId="0FEF303B" w14:textId="650594B6" w:rsidR="00AE0FF3" w:rsidRPr="00F17D79" w:rsidRDefault="00392730" w:rsidP="004E1513">
      <w:pPr>
        <w:rPr>
          <w:szCs w:val="22"/>
        </w:rPr>
      </w:pPr>
      <w:r>
        <w:rPr>
          <w:szCs w:val="22"/>
        </w:rPr>
        <w:t>Also, there were</w:t>
      </w:r>
      <w:r w:rsidR="00AE0FF3" w:rsidRPr="00F17D79">
        <w:rPr>
          <w:szCs w:val="22"/>
        </w:rPr>
        <w:t xml:space="preserve"> agreements about the common control channel that w</w:t>
      </w:r>
      <w:r>
        <w:rPr>
          <w:szCs w:val="22"/>
        </w:rPr>
        <w:t>ere</w:t>
      </w:r>
      <w:r w:rsidR="00AE0FF3" w:rsidRPr="00F17D79">
        <w:rPr>
          <w:szCs w:val="22"/>
        </w:rPr>
        <w:t xml:space="preserve"> also related to the control resource set and UE-specific PDCCH:</w:t>
      </w:r>
    </w:p>
    <w:p w14:paraId="3AFC3269" w14:textId="77777777" w:rsidR="00AE0FF3" w:rsidRPr="00BC67B1" w:rsidRDefault="00AE0FF3" w:rsidP="00AE0FF3">
      <w:pPr>
        <w:rPr>
          <w:rFonts w:eastAsia="MS Mincho"/>
          <w:b/>
          <w:i/>
          <w:u w:val="single"/>
          <w:lang w:eastAsia="ja-JP"/>
        </w:rPr>
      </w:pPr>
      <w:r w:rsidRPr="00BC67B1">
        <w:rPr>
          <w:rFonts w:eastAsia="MS Mincho"/>
          <w:b/>
          <w:i/>
          <w:u w:val="single"/>
          <w:lang w:eastAsia="ja-JP"/>
        </w:rPr>
        <w:t>Agreements:</w:t>
      </w:r>
    </w:p>
    <w:p w14:paraId="7826A814" w14:textId="77777777" w:rsidR="00AE0FF3" w:rsidRPr="00BC67B1" w:rsidRDefault="00AE0FF3" w:rsidP="00AE0FF3">
      <w:pPr>
        <w:pStyle w:val="ListParagraph"/>
        <w:numPr>
          <w:ilvl w:val="0"/>
          <w:numId w:val="22"/>
        </w:numPr>
        <w:contextualSpacing/>
        <w:rPr>
          <w:rFonts w:ascii="Times New Roman" w:eastAsia="MS Mincho" w:hAnsi="Times New Roman"/>
          <w:i/>
          <w:szCs w:val="20"/>
          <w:lang w:eastAsia="ja-JP"/>
        </w:rPr>
      </w:pPr>
      <w:r w:rsidRPr="00BC67B1">
        <w:rPr>
          <w:rFonts w:ascii="Times New Roman" w:eastAsia="MS Mincho" w:hAnsi="Times New Roman"/>
          <w:i/>
          <w:szCs w:val="20"/>
          <w:lang w:eastAsia="ja-JP"/>
        </w:rPr>
        <w:t xml:space="preserve">The UE will have the possibility to determine whether some blind </w:t>
      </w:r>
      <w:proofErr w:type="spellStart"/>
      <w:r w:rsidRPr="00BC67B1">
        <w:rPr>
          <w:rFonts w:ascii="Times New Roman" w:eastAsia="MS Mincho" w:hAnsi="Times New Roman"/>
          <w:i/>
          <w:szCs w:val="20"/>
          <w:lang w:eastAsia="ja-JP"/>
        </w:rPr>
        <w:t>decodings</w:t>
      </w:r>
      <w:proofErr w:type="spellEnd"/>
      <w:r w:rsidRPr="00BC67B1">
        <w:rPr>
          <w:rFonts w:ascii="Times New Roman" w:eastAsia="MS Mincho" w:hAnsi="Times New Roman"/>
          <w:i/>
          <w:szCs w:val="20"/>
          <w:lang w:eastAsia="ja-JP"/>
        </w:rPr>
        <w:t xml:space="preserve"> can be skipped based on information on a ‘group common PDCCH’ (if present).</w:t>
      </w:r>
    </w:p>
    <w:p w14:paraId="7E0B0178" w14:textId="77777777" w:rsidR="00AE0FF3" w:rsidRPr="00BC67B1" w:rsidRDefault="00AE0FF3" w:rsidP="00AE0FF3">
      <w:pPr>
        <w:pStyle w:val="ListParagraph"/>
        <w:numPr>
          <w:ilvl w:val="0"/>
          <w:numId w:val="22"/>
        </w:numPr>
        <w:contextualSpacing/>
        <w:rPr>
          <w:rFonts w:ascii="Times New Roman" w:eastAsia="MS Mincho" w:hAnsi="Times New Roman"/>
          <w:i/>
          <w:szCs w:val="20"/>
          <w:lang w:eastAsia="ja-JP"/>
        </w:rPr>
      </w:pPr>
      <w:r w:rsidRPr="00BC67B1">
        <w:rPr>
          <w:rFonts w:ascii="Times New Roman" w:eastAsia="MS Mincho" w:hAnsi="Times New Roman"/>
          <w:i/>
          <w:szCs w:val="20"/>
          <w:lang w:eastAsia="ja-JP"/>
        </w:rPr>
        <w:t xml:space="preserve">FFS: if the data starting position is signaled on the group common PDCCH, the UE may exploit this information to skip some blind </w:t>
      </w:r>
      <w:proofErr w:type="spellStart"/>
      <w:r w:rsidRPr="00BC67B1">
        <w:rPr>
          <w:rFonts w:ascii="Times New Roman" w:eastAsia="MS Mincho" w:hAnsi="Times New Roman"/>
          <w:i/>
          <w:szCs w:val="20"/>
          <w:lang w:eastAsia="ja-JP"/>
        </w:rPr>
        <w:t>decodings</w:t>
      </w:r>
      <w:proofErr w:type="spellEnd"/>
    </w:p>
    <w:p w14:paraId="074462B1" w14:textId="77777777" w:rsidR="00AE0FF3" w:rsidRPr="00BC67B1" w:rsidRDefault="00AE0FF3" w:rsidP="00AE0FF3">
      <w:pPr>
        <w:pStyle w:val="ListParagraph"/>
        <w:numPr>
          <w:ilvl w:val="0"/>
          <w:numId w:val="22"/>
        </w:numPr>
        <w:contextualSpacing/>
        <w:rPr>
          <w:rFonts w:ascii="Times New Roman" w:eastAsia="MS Mincho" w:hAnsi="Times New Roman"/>
          <w:i/>
          <w:szCs w:val="20"/>
          <w:lang w:eastAsia="ja-JP"/>
        </w:rPr>
      </w:pPr>
      <w:r w:rsidRPr="00BC67B1">
        <w:rPr>
          <w:rFonts w:ascii="Times New Roman" w:eastAsia="MS Mincho" w:hAnsi="Times New Roman"/>
          <w:i/>
          <w:szCs w:val="20"/>
          <w:lang w:eastAsia="ja-JP"/>
        </w:rPr>
        <w:t xml:space="preserve">FFS: if the end of the control resource set is signaled on the ‘group common PDCCH’, the UE may exploit this information to skip some blind </w:t>
      </w:r>
      <w:proofErr w:type="spellStart"/>
      <w:r w:rsidRPr="00BC67B1">
        <w:rPr>
          <w:rFonts w:ascii="Times New Roman" w:eastAsia="MS Mincho" w:hAnsi="Times New Roman"/>
          <w:i/>
          <w:szCs w:val="20"/>
          <w:lang w:eastAsia="ja-JP"/>
        </w:rPr>
        <w:t>decodings</w:t>
      </w:r>
      <w:proofErr w:type="spellEnd"/>
    </w:p>
    <w:p w14:paraId="658ACAC8" w14:textId="77777777" w:rsidR="00AE0FF3" w:rsidRPr="00BC67B1" w:rsidRDefault="00AE0FF3" w:rsidP="00AE0FF3">
      <w:pPr>
        <w:pStyle w:val="ListParagraph"/>
        <w:numPr>
          <w:ilvl w:val="0"/>
          <w:numId w:val="22"/>
        </w:numPr>
        <w:contextualSpacing/>
        <w:rPr>
          <w:rFonts w:ascii="Times New Roman" w:eastAsia="MS Mincho" w:hAnsi="Times New Roman"/>
          <w:i/>
          <w:szCs w:val="20"/>
          <w:lang w:eastAsia="ja-JP"/>
        </w:rPr>
      </w:pPr>
      <w:r w:rsidRPr="00BC67B1">
        <w:rPr>
          <w:rFonts w:ascii="Times New Roman" w:eastAsia="MS Mincho" w:hAnsi="Times New Roman"/>
          <w:i/>
          <w:szCs w:val="20"/>
          <w:lang w:eastAsia="ja-JP"/>
        </w:rPr>
        <w:t>FFS: how to handle the case when there is no ‘group common PDCCH’ in a slot</w:t>
      </w:r>
    </w:p>
    <w:p w14:paraId="18925A7D" w14:textId="77777777" w:rsidR="00AE0FF3" w:rsidRPr="00BC67B1" w:rsidRDefault="00AE0FF3" w:rsidP="00AE0FF3">
      <w:pPr>
        <w:pStyle w:val="ListParagraph"/>
        <w:numPr>
          <w:ilvl w:val="0"/>
          <w:numId w:val="22"/>
        </w:numPr>
        <w:contextualSpacing/>
        <w:rPr>
          <w:rFonts w:ascii="Times New Roman" w:eastAsia="MS Mincho" w:hAnsi="Times New Roman"/>
          <w:i/>
          <w:szCs w:val="20"/>
          <w:lang w:eastAsia="ja-JP"/>
        </w:rPr>
      </w:pPr>
      <w:r w:rsidRPr="00BC67B1">
        <w:rPr>
          <w:rFonts w:ascii="Times New Roman" w:eastAsia="MS Mincho" w:hAnsi="Times New Roman"/>
          <w:i/>
          <w:szCs w:val="20"/>
          <w:lang w:eastAsia="ja-JP"/>
        </w:rPr>
        <w:t>When monitoring for a PDCCH, the UE should be able to process a detected PDCCH irrespective of whether the ‘group common PDCCH’ is received or not</w:t>
      </w:r>
    </w:p>
    <w:p w14:paraId="0DEC7E68" w14:textId="77777777" w:rsidR="00AE0FF3" w:rsidRPr="00BC67B1" w:rsidRDefault="00AE0FF3" w:rsidP="004E1513">
      <w:pPr>
        <w:rPr>
          <w:i/>
          <w:szCs w:val="22"/>
        </w:rPr>
      </w:pPr>
    </w:p>
    <w:p w14:paraId="31AD83F2" w14:textId="77777777" w:rsidR="00AE0FF3" w:rsidRPr="00BC67B1" w:rsidRDefault="00AE0FF3" w:rsidP="00AE0FF3">
      <w:pPr>
        <w:pStyle w:val="BodyText"/>
        <w:spacing w:after="0"/>
        <w:rPr>
          <w:rFonts w:ascii="Times New Roman" w:hAnsi="Times New Roman"/>
          <w:b/>
          <w:i/>
          <w:u w:val="single"/>
          <w:lang w:val="en-US" w:eastAsia="ja-JP"/>
        </w:rPr>
      </w:pPr>
      <w:r w:rsidRPr="00BC67B1">
        <w:rPr>
          <w:rFonts w:ascii="Times New Roman" w:hAnsi="Times New Roman"/>
          <w:i/>
          <w:szCs w:val="22"/>
        </w:rPr>
        <w:t xml:space="preserve"> </w:t>
      </w:r>
      <w:r w:rsidRPr="00BC67B1">
        <w:rPr>
          <w:rFonts w:ascii="Times New Roman" w:eastAsia="MS Mincho" w:hAnsi="Times New Roman"/>
          <w:b/>
          <w:i/>
          <w:u w:val="single"/>
          <w:lang w:val="en-US" w:eastAsia="ja-JP"/>
        </w:rPr>
        <w:t>Agreements:</w:t>
      </w:r>
    </w:p>
    <w:p w14:paraId="68AB9A4D" w14:textId="77777777" w:rsidR="00AE0FF3" w:rsidRPr="00BC67B1" w:rsidRDefault="00AE0FF3" w:rsidP="00AE0FF3">
      <w:pPr>
        <w:pStyle w:val="BodyText"/>
        <w:numPr>
          <w:ilvl w:val="0"/>
          <w:numId w:val="21"/>
        </w:numPr>
        <w:overflowPunct/>
        <w:autoSpaceDE/>
        <w:autoSpaceDN/>
        <w:adjustRightInd/>
        <w:spacing w:after="0"/>
        <w:textAlignment w:val="auto"/>
        <w:rPr>
          <w:rFonts w:ascii="Times New Roman" w:hAnsi="Times New Roman"/>
          <w:i/>
          <w:lang w:val="en-US" w:eastAsia="ja-JP"/>
        </w:rPr>
      </w:pPr>
      <w:r w:rsidRPr="00BC67B1">
        <w:rPr>
          <w:rFonts w:ascii="Times New Roman" w:hAnsi="Times New Roman"/>
          <w:i/>
          <w:lang w:val="en-US" w:eastAsia="ja-JP"/>
        </w:rPr>
        <w:t>‘Slot format related information’</w:t>
      </w:r>
    </w:p>
    <w:p w14:paraId="1A4B6F71" w14:textId="77777777" w:rsidR="00AE0FF3" w:rsidRPr="00BC67B1" w:rsidRDefault="00AE0FF3" w:rsidP="00AE0FF3">
      <w:pPr>
        <w:pStyle w:val="BodyText"/>
        <w:numPr>
          <w:ilvl w:val="1"/>
          <w:numId w:val="21"/>
        </w:numPr>
        <w:overflowPunct/>
        <w:autoSpaceDE/>
        <w:autoSpaceDN/>
        <w:adjustRightInd/>
        <w:spacing w:after="0"/>
        <w:textAlignment w:val="auto"/>
        <w:rPr>
          <w:rFonts w:ascii="Times New Roman" w:hAnsi="Times New Roman"/>
          <w:i/>
          <w:lang w:val="en-US" w:eastAsia="ja-JP"/>
        </w:rPr>
      </w:pPr>
      <w:r w:rsidRPr="00BC67B1">
        <w:rPr>
          <w:rFonts w:ascii="Times New Roman" w:hAnsi="Times New Roman"/>
          <w:i/>
          <w:lang w:val="en-US" w:eastAsia="ja-JP"/>
        </w:rPr>
        <w:t>Information from which the UE can derive at least which symbols in a slot that are ‘DL’, ‘UL’ (for Rel-15), and ‘other’, respectively</w:t>
      </w:r>
    </w:p>
    <w:p w14:paraId="5AFEF201" w14:textId="77777777" w:rsidR="00AE0FF3" w:rsidRPr="00BC67B1" w:rsidRDefault="00AE0FF3" w:rsidP="00AE0FF3">
      <w:pPr>
        <w:pStyle w:val="BodyText"/>
        <w:numPr>
          <w:ilvl w:val="1"/>
          <w:numId w:val="21"/>
        </w:numPr>
        <w:overflowPunct/>
        <w:autoSpaceDE/>
        <w:autoSpaceDN/>
        <w:adjustRightInd/>
        <w:spacing w:after="0"/>
        <w:textAlignment w:val="auto"/>
        <w:rPr>
          <w:rFonts w:ascii="Times New Roman" w:hAnsi="Times New Roman"/>
          <w:i/>
          <w:lang w:val="en-US" w:eastAsia="ja-JP"/>
        </w:rPr>
      </w:pPr>
      <w:r w:rsidRPr="00BC67B1">
        <w:rPr>
          <w:rFonts w:ascii="Times New Roman" w:hAnsi="Times New Roman"/>
          <w:i/>
          <w:lang w:val="en-US" w:eastAsia="ja-JP"/>
        </w:rPr>
        <w:t>FFS: if ‘other’ can be subdivided into ‘blank’, ‘</w:t>
      </w:r>
      <w:proofErr w:type="spellStart"/>
      <w:r w:rsidRPr="00BC67B1">
        <w:rPr>
          <w:rFonts w:ascii="Times New Roman" w:hAnsi="Times New Roman"/>
          <w:i/>
          <w:lang w:val="en-US" w:eastAsia="ja-JP"/>
        </w:rPr>
        <w:t>sidelink</w:t>
      </w:r>
      <w:proofErr w:type="spellEnd"/>
      <w:r w:rsidRPr="00BC67B1">
        <w:rPr>
          <w:rFonts w:ascii="Times New Roman" w:hAnsi="Times New Roman"/>
          <w:i/>
          <w:lang w:val="en-US" w:eastAsia="ja-JP"/>
        </w:rPr>
        <w:t xml:space="preserve">’, </w:t>
      </w:r>
      <w:proofErr w:type="spellStart"/>
      <w:r w:rsidRPr="00BC67B1">
        <w:rPr>
          <w:rFonts w:ascii="Times New Roman" w:hAnsi="Times New Roman"/>
          <w:i/>
          <w:lang w:val="en-US" w:eastAsia="ja-JP"/>
        </w:rPr>
        <w:t>etc</w:t>
      </w:r>
      <w:proofErr w:type="spellEnd"/>
    </w:p>
    <w:p w14:paraId="0196F3CC" w14:textId="77777777" w:rsidR="00AE0FF3" w:rsidRPr="00BC67B1" w:rsidRDefault="00AE0FF3" w:rsidP="00AE0FF3">
      <w:pPr>
        <w:pStyle w:val="BodyText"/>
        <w:numPr>
          <w:ilvl w:val="0"/>
          <w:numId w:val="21"/>
        </w:numPr>
        <w:overflowPunct/>
        <w:autoSpaceDE/>
        <w:autoSpaceDN/>
        <w:adjustRightInd/>
        <w:spacing w:after="0"/>
        <w:textAlignment w:val="auto"/>
        <w:rPr>
          <w:rFonts w:ascii="Times New Roman" w:hAnsi="Times New Roman"/>
          <w:i/>
          <w:lang w:val="en-US" w:eastAsia="ja-JP"/>
        </w:rPr>
      </w:pPr>
      <w:r w:rsidRPr="00BC67B1">
        <w:rPr>
          <w:rFonts w:ascii="Times New Roman" w:eastAsia="MS Mincho" w:hAnsi="Times New Roman"/>
          <w:i/>
          <w:lang w:val="en-US" w:eastAsia="ja-JP"/>
        </w:rPr>
        <w:t xml:space="preserve">FFS: </w:t>
      </w:r>
      <w:r w:rsidRPr="00BC67B1">
        <w:rPr>
          <w:rFonts w:ascii="Times New Roman" w:hAnsi="Times New Roman"/>
          <w:i/>
          <w:lang w:val="en-US" w:eastAsia="ja-JP"/>
        </w:rPr>
        <w:t>‘Control resource set duration’</w:t>
      </w:r>
    </w:p>
    <w:p w14:paraId="17138E03" w14:textId="77777777" w:rsidR="00AE0FF3" w:rsidRPr="00BC67B1" w:rsidRDefault="00AE0FF3" w:rsidP="00AE0FF3">
      <w:pPr>
        <w:pStyle w:val="BodyText"/>
        <w:numPr>
          <w:ilvl w:val="1"/>
          <w:numId w:val="21"/>
        </w:numPr>
        <w:overflowPunct/>
        <w:autoSpaceDE/>
        <w:autoSpaceDN/>
        <w:adjustRightInd/>
        <w:spacing w:after="0"/>
        <w:textAlignment w:val="auto"/>
        <w:rPr>
          <w:rFonts w:ascii="Times New Roman" w:hAnsi="Times New Roman"/>
          <w:i/>
          <w:lang w:val="en-US" w:eastAsia="ja-JP"/>
        </w:rPr>
      </w:pPr>
      <w:r w:rsidRPr="00BC67B1">
        <w:rPr>
          <w:rFonts w:ascii="Times New Roman" w:eastAsia="MS Mincho" w:hAnsi="Times New Roman"/>
          <w:i/>
          <w:lang w:val="en-US" w:eastAsia="ja-JP"/>
        </w:rPr>
        <w:t xml:space="preserve">FFS: </w:t>
      </w:r>
      <w:r w:rsidRPr="00BC67B1">
        <w:rPr>
          <w:rFonts w:ascii="Times New Roman" w:hAnsi="Times New Roman"/>
          <w:i/>
          <w:lang w:val="en-US" w:eastAsia="ja-JP"/>
        </w:rPr>
        <w:t xml:space="preserve">Indicates the duration of the control resource set(s) </w:t>
      </w:r>
    </w:p>
    <w:p w14:paraId="643BC5B5" w14:textId="77777777" w:rsidR="00AE0FF3" w:rsidRPr="00BC67B1" w:rsidRDefault="00AE0FF3" w:rsidP="00AE0FF3">
      <w:pPr>
        <w:pStyle w:val="BodyText"/>
        <w:numPr>
          <w:ilvl w:val="1"/>
          <w:numId w:val="21"/>
        </w:numPr>
        <w:overflowPunct/>
        <w:autoSpaceDE/>
        <w:autoSpaceDN/>
        <w:adjustRightInd/>
        <w:spacing w:after="0"/>
        <w:textAlignment w:val="auto"/>
        <w:rPr>
          <w:rFonts w:ascii="Times New Roman" w:hAnsi="Times New Roman"/>
          <w:i/>
          <w:lang w:val="en-US" w:eastAsia="ja-JP"/>
        </w:rPr>
      </w:pPr>
      <w:r w:rsidRPr="00BC67B1">
        <w:rPr>
          <w:rFonts w:ascii="Times New Roman" w:eastAsia="MS Mincho" w:hAnsi="Times New Roman"/>
          <w:i/>
          <w:lang w:val="en-US" w:eastAsia="ja-JP"/>
        </w:rPr>
        <w:t xml:space="preserve">FFS: </w:t>
      </w:r>
      <w:r w:rsidRPr="00BC67B1">
        <w:rPr>
          <w:rFonts w:ascii="Times New Roman" w:hAnsi="Times New Roman"/>
          <w:i/>
          <w:lang w:val="en-US" w:eastAsia="ja-JP"/>
        </w:rPr>
        <w:t xml:space="preserve">Can help the UE skip some of the semi-statically configured blind </w:t>
      </w:r>
      <w:proofErr w:type="spellStart"/>
      <w:r w:rsidRPr="00BC67B1">
        <w:rPr>
          <w:rFonts w:ascii="Times New Roman" w:hAnsi="Times New Roman"/>
          <w:i/>
          <w:lang w:val="en-US" w:eastAsia="ja-JP"/>
        </w:rPr>
        <w:t>decodings</w:t>
      </w:r>
      <w:proofErr w:type="spellEnd"/>
      <w:r w:rsidRPr="00BC67B1">
        <w:rPr>
          <w:rFonts w:ascii="Times New Roman" w:hAnsi="Times New Roman"/>
          <w:i/>
          <w:lang w:val="en-US" w:eastAsia="ja-JP"/>
        </w:rPr>
        <w:t xml:space="preserve">. If not received, the UE performs all blind </w:t>
      </w:r>
      <w:proofErr w:type="spellStart"/>
      <w:r w:rsidRPr="00BC67B1">
        <w:rPr>
          <w:rFonts w:ascii="Times New Roman" w:hAnsi="Times New Roman"/>
          <w:i/>
          <w:lang w:val="en-US" w:eastAsia="ja-JP"/>
        </w:rPr>
        <w:t>decodings</w:t>
      </w:r>
      <w:proofErr w:type="spellEnd"/>
      <w:r w:rsidRPr="00BC67B1">
        <w:rPr>
          <w:rFonts w:ascii="Times New Roman" w:hAnsi="Times New Roman"/>
          <w:i/>
          <w:lang w:val="en-US" w:eastAsia="ja-JP"/>
        </w:rPr>
        <w:t>.</w:t>
      </w:r>
    </w:p>
    <w:p w14:paraId="36694356" w14:textId="48A57E68" w:rsidR="005A08A7" w:rsidRPr="00B43818" w:rsidRDefault="005A08A7" w:rsidP="004E1513">
      <w:pPr>
        <w:rPr>
          <w:szCs w:val="22"/>
        </w:rPr>
      </w:pPr>
    </w:p>
    <w:p w14:paraId="74921735" w14:textId="17EEA871" w:rsidR="005811CB" w:rsidRPr="00B43818" w:rsidRDefault="005811CB" w:rsidP="004E1513">
      <w:pPr>
        <w:rPr>
          <w:szCs w:val="22"/>
        </w:rPr>
      </w:pPr>
      <w:r w:rsidRPr="00B43818">
        <w:rPr>
          <w:szCs w:val="22"/>
        </w:rPr>
        <w:t xml:space="preserve">In this document we discuss </w:t>
      </w:r>
      <w:r w:rsidR="002831EA">
        <w:rPr>
          <w:szCs w:val="22"/>
        </w:rPr>
        <w:t>the overall</w:t>
      </w:r>
      <w:r w:rsidR="00392730">
        <w:rPr>
          <w:szCs w:val="22"/>
        </w:rPr>
        <w:t xml:space="preserve"> </w:t>
      </w:r>
      <w:r w:rsidR="00AC3CE2">
        <w:rPr>
          <w:szCs w:val="22"/>
        </w:rPr>
        <w:t xml:space="preserve">structure and </w:t>
      </w:r>
      <w:r w:rsidR="002831EA">
        <w:rPr>
          <w:szCs w:val="22"/>
        </w:rPr>
        <w:t xml:space="preserve">some issues related to the </w:t>
      </w:r>
      <w:r w:rsidR="00AC3CE2">
        <w:rPr>
          <w:szCs w:val="22"/>
        </w:rPr>
        <w:t>design of NR-PDCCH</w:t>
      </w:r>
      <w:r w:rsidR="00E45AFC" w:rsidRPr="00B43818">
        <w:rPr>
          <w:szCs w:val="22"/>
        </w:rPr>
        <w:t>.</w:t>
      </w:r>
      <w:r w:rsidR="002D0F2A" w:rsidRPr="00B43818">
        <w:rPr>
          <w:szCs w:val="22"/>
        </w:rPr>
        <w:t xml:space="preserve"> </w:t>
      </w:r>
    </w:p>
    <w:p w14:paraId="12579F8C" w14:textId="77777777" w:rsidR="00FA007C" w:rsidRPr="00B43818" w:rsidRDefault="00FA007C" w:rsidP="004E1513">
      <w:pPr>
        <w:rPr>
          <w:sz w:val="20"/>
        </w:rPr>
      </w:pPr>
    </w:p>
    <w:p w14:paraId="52AA9378" w14:textId="08575FAD" w:rsidR="00EA7A01" w:rsidRPr="004F3116" w:rsidRDefault="00FB30FF" w:rsidP="008A0B24">
      <w:pPr>
        <w:pStyle w:val="Heading1"/>
        <w:pBdr>
          <w:top w:val="single" w:sz="12" w:space="5" w:color="auto"/>
        </w:pBdr>
        <w:spacing w:after="120"/>
        <w:rPr>
          <w:rFonts w:ascii="Times New Roman" w:hAnsi="Times New Roman"/>
          <w:b/>
          <w:sz w:val="32"/>
          <w:szCs w:val="32"/>
          <w:lang w:val="en-US"/>
        </w:rPr>
      </w:pPr>
      <w:r>
        <w:rPr>
          <w:rFonts w:ascii="Times New Roman" w:hAnsi="Times New Roman"/>
          <w:b/>
          <w:sz w:val="32"/>
          <w:szCs w:val="32"/>
        </w:rPr>
        <w:t xml:space="preserve">Structure of NR-PDCCH </w:t>
      </w:r>
      <w:proofErr w:type="spellStart"/>
      <w:r>
        <w:rPr>
          <w:rFonts w:ascii="Times New Roman" w:hAnsi="Times New Roman"/>
          <w:b/>
          <w:sz w:val="32"/>
          <w:szCs w:val="32"/>
        </w:rPr>
        <w:t>canidates</w:t>
      </w:r>
      <w:proofErr w:type="spellEnd"/>
      <w:r w:rsidR="00B407D2" w:rsidRPr="00B43818">
        <w:rPr>
          <w:rFonts w:ascii="Times New Roman" w:hAnsi="Times New Roman"/>
          <w:b/>
          <w:sz w:val="32"/>
          <w:szCs w:val="32"/>
        </w:rPr>
        <w:t xml:space="preserve"> </w:t>
      </w:r>
      <w:r w:rsidR="004555E3" w:rsidRPr="00B43818">
        <w:rPr>
          <w:rFonts w:ascii="Times New Roman" w:hAnsi="Times New Roman"/>
          <w:b/>
          <w:sz w:val="32"/>
          <w:szCs w:val="32"/>
        </w:rPr>
        <w:t xml:space="preserve"> </w:t>
      </w:r>
    </w:p>
    <w:p w14:paraId="3EB638AC" w14:textId="55F60C36" w:rsidR="00F17D79" w:rsidRPr="00F17D79" w:rsidRDefault="00F17D79" w:rsidP="00F17D79">
      <w:pPr>
        <w:rPr>
          <w:szCs w:val="22"/>
        </w:rPr>
      </w:pPr>
      <w:r w:rsidRPr="00F17D79">
        <w:rPr>
          <w:szCs w:val="22"/>
        </w:rPr>
        <w:t xml:space="preserve">Any UE may be associated with a set of one or more NR-PDCCH candidates.  A set of NR-PDCCH candidates assigned to a UE </w:t>
      </w:r>
      <w:r w:rsidR="003F318B">
        <w:rPr>
          <w:szCs w:val="22"/>
        </w:rPr>
        <w:t>is called its</w:t>
      </w:r>
      <w:r w:rsidRPr="00F17D79">
        <w:rPr>
          <w:szCs w:val="22"/>
        </w:rPr>
        <w:t xml:space="preserve"> search space</w:t>
      </w:r>
      <w:r w:rsidR="003F318B">
        <w:rPr>
          <w:szCs w:val="22"/>
        </w:rPr>
        <w:t>, in which the UE performs the blind de</w:t>
      </w:r>
      <w:r w:rsidR="00B56BB4">
        <w:rPr>
          <w:szCs w:val="22"/>
        </w:rPr>
        <w:t>tection</w:t>
      </w:r>
      <w:r w:rsidR="003F318B">
        <w:rPr>
          <w:szCs w:val="22"/>
        </w:rPr>
        <w:t xml:space="preserve"> to find its actual PDCCH and decode the downlink control information (DCI)</w:t>
      </w:r>
      <w:r w:rsidRPr="00F17D79">
        <w:rPr>
          <w:szCs w:val="22"/>
        </w:rPr>
        <w:t xml:space="preserve">.  The search space corresponding to a UE is determined by Radio Network Temporary Identifier (RNTI) or other mechanisms that are designed to identify it inside a cell or differentiate it from other UEs.  </w:t>
      </w:r>
    </w:p>
    <w:p w14:paraId="45D64A9D" w14:textId="4051CA0D" w:rsidR="00890CBA" w:rsidRPr="00F17D79" w:rsidRDefault="00F17D79" w:rsidP="00F17D79">
      <w:pPr>
        <w:rPr>
          <w:szCs w:val="22"/>
        </w:rPr>
      </w:pPr>
      <w:r w:rsidRPr="00F17D79">
        <w:rPr>
          <w:szCs w:val="22"/>
        </w:rPr>
        <w:t xml:space="preserve">Each PDCCH candidate consists of one or more </w:t>
      </w:r>
      <w:r w:rsidR="002F513E" w:rsidRPr="002F513E">
        <w:rPr>
          <w:szCs w:val="22"/>
        </w:rPr>
        <w:t>Control Channel Element</w:t>
      </w:r>
      <w:r w:rsidR="002F513E">
        <w:rPr>
          <w:szCs w:val="22"/>
        </w:rPr>
        <w:t>s</w:t>
      </w:r>
      <w:r w:rsidR="002F513E" w:rsidRPr="002F513E">
        <w:rPr>
          <w:szCs w:val="22"/>
        </w:rPr>
        <w:t xml:space="preserve"> (CCE</w:t>
      </w:r>
      <w:r w:rsidR="002F513E">
        <w:rPr>
          <w:szCs w:val="22"/>
        </w:rPr>
        <w:t>s</w:t>
      </w:r>
      <w:r w:rsidR="002F513E" w:rsidRPr="002F513E">
        <w:rPr>
          <w:szCs w:val="22"/>
        </w:rPr>
        <w:t>)</w:t>
      </w:r>
      <w:r w:rsidRPr="00F17D79">
        <w:rPr>
          <w:szCs w:val="22"/>
        </w:rPr>
        <w:t xml:space="preserve"> and each CCE consists of a number of </w:t>
      </w:r>
      <w:r w:rsidR="002F513E" w:rsidRPr="002F513E">
        <w:rPr>
          <w:szCs w:val="22"/>
        </w:rPr>
        <w:t>Resource Element Group</w:t>
      </w:r>
      <w:r w:rsidR="002F513E">
        <w:rPr>
          <w:szCs w:val="22"/>
        </w:rPr>
        <w:t>s (</w:t>
      </w:r>
      <w:r w:rsidRPr="00F17D79">
        <w:rPr>
          <w:szCs w:val="22"/>
        </w:rPr>
        <w:t>REGs</w:t>
      </w:r>
      <w:r w:rsidR="002F513E">
        <w:rPr>
          <w:szCs w:val="22"/>
        </w:rPr>
        <w:t>)</w:t>
      </w:r>
      <w:r w:rsidRPr="00F17D79">
        <w:rPr>
          <w:szCs w:val="22"/>
        </w:rPr>
        <w:t xml:space="preserve">. </w:t>
      </w:r>
    </w:p>
    <w:p w14:paraId="3EB32C30" w14:textId="4CC6696C" w:rsidR="00F17D79" w:rsidRPr="00F17D79" w:rsidRDefault="00F17D79" w:rsidP="00F17D79">
      <w:pPr>
        <w:rPr>
          <w:b/>
          <w:szCs w:val="22"/>
        </w:rPr>
      </w:pPr>
      <w:r w:rsidRPr="00F17D79">
        <w:rPr>
          <w:b/>
          <w:szCs w:val="22"/>
        </w:rPr>
        <w:t>2.1 NR-REGs and their mapping to resource elements</w:t>
      </w:r>
    </w:p>
    <w:p w14:paraId="7AB31090" w14:textId="77777777" w:rsidR="00F17D79" w:rsidRPr="00F17D79" w:rsidRDefault="00F17D79" w:rsidP="00F17D79">
      <w:pPr>
        <w:rPr>
          <w:szCs w:val="22"/>
        </w:rPr>
      </w:pPr>
      <w:r w:rsidRPr="00F17D79">
        <w:rPr>
          <w:szCs w:val="22"/>
        </w:rPr>
        <w:t xml:space="preserve">Each NR-REG is a set of resource elements (REs). For example, an REG can be the set of corresponding OFDM symbols on the frequency tones of a resource block (RB), e.g. the set of all first OFDM symbols of an RB or the set of all second symbols (as shown in figure </w:t>
      </w:r>
      <w:proofErr w:type="spellStart"/>
      <w:r w:rsidRPr="00F17D79">
        <w:rPr>
          <w:szCs w:val="22"/>
        </w:rPr>
        <w:t>Figure</w:t>
      </w:r>
      <w:proofErr w:type="spellEnd"/>
      <w:r w:rsidRPr="00F17D79">
        <w:rPr>
          <w:szCs w:val="22"/>
        </w:rPr>
        <w:t xml:space="preserve"> 1). </w:t>
      </w:r>
    </w:p>
    <w:p w14:paraId="6722620E" w14:textId="77777777" w:rsidR="00F17D79" w:rsidRDefault="00F17D79" w:rsidP="00F17D79">
      <w:pPr>
        <w:keepNext/>
        <w:suppressAutoHyphens/>
        <w:spacing w:before="240" w:after="60" w:line="360" w:lineRule="auto"/>
        <w:outlineLvl w:val="0"/>
      </w:pPr>
      <w:r w:rsidRPr="00F17D79">
        <w:rPr>
          <w:szCs w:val="22"/>
        </w:rPr>
        <w:lastRenderedPageBreak/>
        <w:t xml:space="preserve"> </w:t>
      </w:r>
    </w:p>
    <w:p w14:paraId="2D1898C4" w14:textId="77777777" w:rsidR="00F17D79" w:rsidRDefault="00F17D79" w:rsidP="00F17D79">
      <w:pPr>
        <w:keepNext/>
        <w:suppressAutoHyphens/>
        <w:spacing w:before="240" w:after="60" w:line="360" w:lineRule="auto"/>
        <w:outlineLvl w:val="0"/>
      </w:pPr>
      <w:r>
        <w:rPr>
          <w:noProof/>
          <w:lang w:val="en-US" w:eastAsia="en-US"/>
        </w:rPr>
        <w:drawing>
          <wp:inline distT="0" distB="0" distL="0" distR="0" wp14:anchorId="336E86AF" wp14:editId="37528D96">
            <wp:extent cx="4857750" cy="273408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69866" cy="2740906"/>
                    </a:xfrm>
                    <a:prstGeom prst="rect">
                      <a:avLst/>
                    </a:prstGeom>
                    <a:noFill/>
                  </pic:spPr>
                </pic:pic>
              </a:graphicData>
            </a:graphic>
          </wp:inline>
        </w:drawing>
      </w:r>
    </w:p>
    <w:p w14:paraId="23A95D57" w14:textId="77777777" w:rsidR="00F17D79" w:rsidRDefault="00F17D79" w:rsidP="00F17D79">
      <w:pPr>
        <w:pStyle w:val="Caption"/>
        <w:spacing w:line="360" w:lineRule="auto"/>
      </w:pPr>
      <w:bookmarkStart w:id="0" w:name="_Ref473545650"/>
      <w:r>
        <w:t xml:space="preserve">Figure </w:t>
      </w:r>
      <w:r>
        <w:fldChar w:fldCharType="begin"/>
      </w:r>
      <w:r>
        <w:instrText xml:space="preserve"> SEQ Figure \* ARABIC </w:instrText>
      </w:r>
      <w:r>
        <w:fldChar w:fldCharType="separate"/>
      </w:r>
      <w:r>
        <w:rPr>
          <w:noProof/>
        </w:rPr>
        <w:t>1</w:t>
      </w:r>
      <w:r>
        <w:rPr>
          <w:noProof/>
        </w:rPr>
        <w:fldChar w:fldCharType="end"/>
      </w:r>
      <w:r>
        <w:t>. mapping of REGs to OFDM symbols of an RB.</w:t>
      </w:r>
      <w:bookmarkEnd w:id="0"/>
    </w:p>
    <w:p w14:paraId="05DD70E0" w14:textId="6F1803C2" w:rsidR="00F17D79" w:rsidRPr="00F17D79" w:rsidRDefault="00F17D79" w:rsidP="00F17D79">
      <w:pPr>
        <w:rPr>
          <w:szCs w:val="22"/>
        </w:rPr>
      </w:pPr>
      <w:r w:rsidRPr="00F17D79">
        <w:rPr>
          <w:szCs w:val="22"/>
        </w:rPr>
        <w:t>One REG may or may not include reference signal (RS) or demodulation reference signal (DMRS). In the case that an REG does not include resources for DMRS and only contains control information, DMRS in other REGs of the PDCCH may be used as reference signal or demodulation reference signal. An example of the two cases of DMRS locations inside REGs is shown in Figure 2. Also, the position DMRS inside corresponding REGs might be the same or different among different REG. One example is when the DMRS location is also depending on the OFDM symbol corresponding to the REG (as the left side example in Figure 2).</w:t>
      </w:r>
      <w:r w:rsidR="006C6E36">
        <w:rPr>
          <w:szCs w:val="22"/>
        </w:rPr>
        <w:t xml:space="preserve"> </w:t>
      </w:r>
      <w:r w:rsidR="006C6E36" w:rsidRPr="006C6E36">
        <w:rPr>
          <w:szCs w:val="22"/>
        </w:rPr>
        <w:t xml:space="preserve">In the case that transmission of PDCCH uses multiple antenna ports, DMRS corresponding to a UE are divided to subsets that each correspond to an antenna port of </w:t>
      </w:r>
      <w:proofErr w:type="spellStart"/>
      <w:r w:rsidR="006C6E36" w:rsidRPr="006C6E36">
        <w:rPr>
          <w:szCs w:val="22"/>
        </w:rPr>
        <w:t>gNodeB</w:t>
      </w:r>
      <w:proofErr w:type="spellEnd"/>
      <w:r w:rsidR="006C6E36" w:rsidRPr="006C6E36">
        <w:rPr>
          <w:szCs w:val="22"/>
        </w:rPr>
        <w:t xml:space="preserve">. For example, if two antenna ports are used at </w:t>
      </w:r>
      <w:proofErr w:type="spellStart"/>
      <w:r w:rsidR="006C6E36" w:rsidRPr="006C6E36">
        <w:rPr>
          <w:szCs w:val="22"/>
        </w:rPr>
        <w:t>gNodeB</w:t>
      </w:r>
      <w:proofErr w:type="spellEnd"/>
      <w:r w:rsidR="006C6E36" w:rsidRPr="006C6E36">
        <w:rPr>
          <w:szCs w:val="22"/>
        </w:rPr>
        <w:t xml:space="preserve"> for PDCCH transmission, the resource elements reserved for DMRS in (as for example Fig</w:t>
      </w:r>
      <w:r w:rsidR="00696516">
        <w:rPr>
          <w:szCs w:val="22"/>
        </w:rPr>
        <w:t>ure</w:t>
      </w:r>
      <w:r w:rsidR="006C6E36" w:rsidRPr="006C6E36">
        <w:rPr>
          <w:szCs w:val="22"/>
        </w:rPr>
        <w:t xml:space="preserve"> </w:t>
      </w:r>
      <w:r w:rsidR="00696516">
        <w:rPr>
          <w:szCs w:val="22"/>
        </w:rPr>
        <w:t>2</w:t>
      </w:r>
      <w:r w:rsidR="006C6E36" w:rsidRPr="006C6E36">
        <w:rPr>
          <w:szCs w:val="22"/>
        </w:rPr>
        <w:t>) will be divided to two subsets and every other DMRS resource element will be included in one of the two subsets corresponding to the two antenna ports.</w:t>
      </w:r>
    </w:p>
    <w:p w14:paraId="1B3FF634" w14:textId="77777777" w:rsidR="00F17D79" w:rsidRPr="00F17D79" w:rsidRDefault="00F17D79" w:rsidP="00F17D79">
      <w:pPr>
        <w:rPr>
          <w:szCs w:val="22"/>
        </w:rPr>
      </w:pPr>
      <w:r w:rsidRPr="00F17D79">
        <w:rPr>
          <w:szCs w:val="22"/>
        </w:rPr>
        <w:t xml:space="preserve"> </w:t>
      </w:r>
    </w:p>
    <w:p w14:paraId="1A320DCD" w14:textId="77777777" w:rsidR="00BC67B1" w:rsidRDefault="00BC67B1" w:rsidP="00BC67B1">
      <w:pPr>
        <w:keepNext/>
        <w:suppressAutoHyphens/>
        <w:spacing w:before="240" w:after="60" w:line="360" w:lineRule="auto"/>
        <w:outlineLvl w:val="0"/>
      </w:pPr>
      <w:r>
        <w:rPr>
          <w:noProof/>
          <w:lang w:val="en-US" w:eastAsia="en-US"/>
        </w:rPr>
        <w:drawing>
          <wp:inline distT="0" distB="0" distL="0" distR="0" wp14:anchorId="261CD4AA" wp14:editId="298200D9">
            <wp:extent cx="6026150" cy="22033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86548" cy="2225464"/>
                    </a:xfrm>
                    <a:prstGeom prst="rect">
                      <a:avLst/>
                    </a:prstGeom>
                    <a:noFill/>
                  </pic:spPr>
                </pic:pic>
              </a:graphicData>
            </a:graphic>
          </wp:inline>
        </w:drawing>
      </w:r>
    </w:p>
    <w:p w14:paraId="0D4834C3" w14:textId="77777777" w:rsidR="00BC67B1" w:rsidRDefault="00BC67B1" w:rsidP="00BC67B1">
      <w:pPr>
        <w:pStyle w:val="Caption"/>
      </w:pPr>
      <w:bookmarkStart w:id="1" w:name="_Ref473633771"/>
      <w:r>
        <w:t xml:space="preserve">Figure </w:t>
      </w:r>
      <w:r>
        <w:fldChar w:fldCharType="begin"/>
      </w:r>
      <w:r>
        <w:instrText xml:space="preserve"> SEQ Figure \* ARABIC </w:instrText>
      </w:r>
      <w:r>
        <w:fldChar w:fldCharType="separate"/>
      </w:r>
      <w:r>
        <w:rPr>
          <w:noProof/>
        </w:rPr>
        <w:t>2</w:t>
      </w:r>
      <w:r>
        <w:rPr>
          <w:noProof/>
        </w:rPr>
        <w:fldChar w:fldCharType="end"/>
      </w:r>
      <w:bookmarkEnd w:id="1"/>
      <w:r>
        <w:t xml:space="preserve">. </w:t>
      </w:r>
      <w:r w:rsidRPr="00E8387B">
        <w:t>An example of the two cases of DMRS locations inside REGs</w:t>
      </w:r>
      <w:r>
        <w:t>: DMRS in all REGs or only inside some of them</w:t>
      </w:r>
    </w:p>
    <w:p w14:paraId="14B5E40D" w14:textId="77777777" w:rsidR="004F3116" w:rsidRPr="00B43818" w:rsidRDefault="004F3116" w:rsidP="004F3116">
      <w:pPr>
        <w:rPr>
          <w:i/>
          <w:szCs w:val="22"/>
          <w:lang w:eastAsia="sv-SE"/>
        </w:rPr>
      </w:pPr>
    </w:p>
    <w:p w14:paraId="20FA8EF5" w14:textId="1F60459A" w:rsidR="004F3116" w:rsidRPr="00B43818" w:rsidRDefault="004F3116" w:rsidP="004F3116">
      <w:pPr>
        <w:rPr>
          <w:i/>
          <w:szCs w:val="22"/>
          <w:lang w:eastAsia="sv-SE"/>
        </w:rPr>
      </w:pPr>
      <w:r w:rsidRPr="00B43818">
        <w:rPr>
          <w:b/>
          <w:i/>
          <w:szCs w:val="22"/>
          <w:u w:val="single"/>
          <w:lang w:eastAsia="sv-SE"/>
        </w:rPr>
        <w:lastRenderedPageBreak/>
        <w:t>Proposal 1:</w:t>
      </w:r>
      <w:r w:rsidRPr="00B43818">
        <w:rPr>
          <w:b/>
          <w:szCs w:val="22"/>
          <w:lang w:eastAsia="sv-SE"/>
        </w:rPr>
        <w:t xml:space="preserve"> </w:t>
      </w:r>
      <w:r w:rsidRPr="00B43818">
        <w:rPr>
          <w:i/>
          <w:szCs w:val="22"/>
          <w:lang w:eastAsia="sv-SE"/>
        </w:rPr>
        <w:t>In NR</w:t>
      </w:r>
      <w:r>
        <w:rPr>
          <w:i/>
          <w:szCs w:val="22"/>
          <w:lang w:eastAsia="sv-SE"/>
        </w:rPr>
        <w:t>,</w:t>
      </w:r>
      <w:r w:rsidRPr="00B43818">
        <w:rPr>
          <w:i/>
          <w:szCs w:val="22"/>
          <w:lang w:eastAsia="sv-SE"/>
        </w:rPr>
        <w:t xml:space="preserve"> </w:t>
      </w:r>
      <w:r>
        <w:rPr>
          <w:i/>
          <w:szCs w:val="22"/>
          <w:lang w:eastAsia="sv-SE"/>
        </w:rPr>
        <w:t>location of DMRS inside REGs should be defined for each case of single-port and dual-port transmission</w:t>
      </w:r>
      <w:r w:rsidRPr="00B43818">
        <w:rPr>
          <w:i/>
          <w:szCs w:val="22"/>
          <w:lang w:eastAsia="sv-SE"/>
        </w:rPr>
        <w:t xml:space="preserve">. </w:t>
      </w:r>
      <w:r w:rsidRPr="00B43818">
        <w:rPr>
          <w:szCs w:val="22"/>
          <w:lang w:eastAsia="sv-SE"/>
        </w:rPr>
        <w:t xml:space="preserve"> </w:t>
      </w:r>
    </w:p>
    <w:p w14:paraId="246A3012" w14:textId="77777777" w:rsidR="00F17D79" w:rsidRPr="00F17D79" w:rsidRDefault="00F17D79" w:rsidP="00F17D79">
      <w:pPr>
        <w:rPr>
          <w:szCs w:val="22"/>
        </w:rPr>
      </w:pPr>
    </w:p>
    <w:p w14:paraId="18C2F796" w14:textId="1F3FB162" w:rsidR="00F17D79" w:rsidRPr="00BC67B1" w:rsidRDefault="00BC67B1" w:rsidP="00F17D79">
      <w:pPr>
        <w:rPr>
          <w:b/>
          <w:szCs w:val="22"/>
        </w:rPr>
      </w:pPr>
      <w:r w:rsidRPr="00BC67B1">
        <w:rPr>
          <w:b/>
          <w:szCs w:val="22"/>
        </w:rPr>
        <w:t>2</w:t>
      </w:r>
      <w:r w:rsidR="00F17D79" w:rsidRPr="00BC67B1">
        <w:rPr>
          <w:b/>
          <w:szCs w:val="22"/>
        </w:rPr>
        <w:t>.2 Mapping of NR-CCEs to REGs</w:t>
      </w:r>
    </w:p>
    <w:p w14:paraId="0AA0EF31" w14:textId="77777777" w:rsidR="00F17D79" w:rsidRPr="00F17D79" w:rsidRDefault="00F17D79" w:rsidP="00F17D79">
      <w:pPr>
        <w:rPr>
          <w:szCs w:val="22"/>
        </w:rPr>
      </w:pPr>
      <w:r w:rsidRPr="00F17D79">
        <w:rPr>
          <w:szCs w:val="22"/>
        </w:rPr>
        <w:t xml:space="preserve">Each CCE consists of a number of REGs. As an example, all CCEs can have a fixed number of REGs (e.g. 4), as shown in Figure 3.  The REGs of a CCE can be locally allocated (i.e. be adjacent in time or frequency), or be distributed. REGs of a CCE can be on the same OFDM symbol or on different OFDM symbols. One example is shown in Figure 3, where REGs of CCE1 are all on the first </w:t>
      </w:r>
      <w:proofErr w:type="spellStart"/>
      <w:r w:rsidRPr="00F17D79">
        <w:rPr>
          <w:szCs w:val="22"/>
        </w:rPr>
        <w:t>ofdm</w:t>
      </w:r>
      <w:proofErr w:type="spellEnd"/>
      <w:r w:rsidRPr="00F17D79">
        <w:rPr>
          <w:szCs w:val="22"/>
        </w:rPr>
        <w:t xml:space="preserve"> symbol of the time slot and REGs of CCE2 are all on the second OFDM symbol.</w:t>
      </w:r>
    </w:p>
    <w:p w14:paraId="5B04D908" w14:textId="77777777" w:rsidR="00F17D79" w:rsidRPr="00F17D79" w:rsidRDefault="00F17D79" w:rsidP="00F17D79">
      <w:pPr>
        <w:rPr>
          <w:szCs w:val="22"/>
        </w:rPr>
      </w:pPr>
    </w:p>
    <w:p w14:paraId="6406E484" w14:textId="77777777" w:rsidR="00F17D79" w:rsidRPr="00F17D79" w:rsidRDefault="00F17D79" w:rsidP="00F17D79">
      <w:pPr>
        <w:rPr>
          <w:szCs w:val="22"/>
        </w:rPr>
      </w:pPr>
      <w:r w:rsidRPr="00F17D79">
        <w:rPr>
          <w:szCs w:val="22"/>
        </w:rPr>
        <w:t xml:space="preserve"> </w:t>
      </w:r>
    </w:p>
    <w:p w14:paraId="164A45FE" w14:textId="77777777" w:rsidR="00BC67B1" w:rsidRDefault="00BC67B1" w:rsidP="00BC67B1">
      <w:pPr>
        <w:keepNext/>
        <w:suppressAutoHyphens/>
        <w:spacing w:before="240" w:after="60" w:line="360" w:lineRule="auto"/>
        <w:outlineLvl w:val="0"/>
      </w:pPr>
      <w:r>
        <w:object w:dxaOrig="12541" w:dyaOrig="6940" w14:anchorId="5B563C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203.5pt" o:ole="">
            <v:imagedata r:id="rId14" o:title=""/>
          </v:shape>
          <o:OLEObject Type="Embed" ProgID="Visio.Drawing.15" ShapeID="_x0000_i1025" DrawAspect="Content" ObjectID="_1547910124" r:id="rId15"/>
        </w:object>
      </w:r>
    </w:p>
    <w:p w14:paraId="3A6BEC81" w14:textId="77777777" w:rsidR="00BC67B1" w:rsidRDefault="00BC67B1" w:rsidP="00BC67B1">
      <w:pPr>
        <w:pStyle w:val="Caption"/>
        <w:spacing w:line="360" w:lineRule="auto"/>
      </w:pPr>
      <w:bookmarkStart w:id="2" w:name="_Ref473547828"/>
      <w:r>
        <w:t xml:space="preserve">Figure </w:t>
      </w:r>
      <w:r>
        <w:fldChar w:fldCharType="begin"/>
      </w:r>
      <w:r>
        <w:instrText xml:space="preserve"> SEQ Figure \* ARABIC </w:instrText>
      </w:r>
      <w:r>
        <w:fldChar w:fldCharType="separate"/>
      </w:r>
      <w:r>
        <w:rPr>
          <w:noProof/>
        </w:rPr>
        <w:t>3</w:t>
      </w:r>
      <w:r>
        <w:rPr>
          <w:noProof/>
        </w:rPr>
        <w:fldChar w:fldCharType="end"/>
      </w:r>
      <w:bookmarkEnd w:id="2"/>
      <w:r>
        <w:t>. Example of mapping CCEs to REGs</w:t>
      </w:r>
    </w:p>
    <w:p w14:paraId="0C941CCC" w14:textId="77777777" w:rsidR="00F17D79" w:rsidRPr="00F17D79" w:rsidRDefault="00F17D79" w:rsidP="00F17D79">
      <w:pPr>
        <w:rPr>
          <w:szCs w:val="22"/>
        </w:rPr>
      </w:pPr>
    </w:p>
    <w:p w14:paraId="292173FC" w14:textId="56F9E939" w:rsidR="00F17D79" w:rsidRPr="00751122" w:rsidRDefault="00BC67B1" w:rsidP="00F17D79">
      <w:pPr>
        <w:rPr>
          <w:b/>
          <w:szCs w:val="22"/>
        </w:rPr>
      </w:pPr>
      <w:r w:rsidRPr="00751122">
        <w:rPr>
          <w:b/>
          <w:szCs w:val="22"/>
        </w:rPr>
        <w:t>2</w:t>
      </w:r>
      <w:r w:rsidR="00F17D79" w:rsidRPr="00751122">
        <w:rPr>
          <w:b/>
          <w:szCs w:val="22"/>
        </w:rPr>
        <w:t>.3</w:t>
      </w:r>
      <w:r w:rsidR="00F17D79" w:rsidRPr="00751122">
        <w:rPr>
          <w:b/>
          <w:szCs w:val="22"/>
        </w:rPr>
        <w:tab/>
        <w:t>Mapping of NR-PDCCH candidates to CCEs (aggregation)</w:t>
      </w:r>
    </w:p>
    <w:p w14:paraId="036B5508" w14:textId="77777777" w:rsidR="00F17D79" w:rsidRPr="00F17D79" w:rsidRDefault="00F17D79" w:rsidP="00F17D79">
      <w:pPr>
        <w:rPr>
          <w:szCs w:val="22"/>
        </w:rPr>
      </w:pPr>
      <w:r w:rsidRPr="00F17D79">
        <w:rPr>
          <w:szCs w:val="22"/>
        </w:rPr>
        <w:t xml:space="preserve">Each PDCCH candidate consists of one or more CCEs. The number of CCEs in a PDCCH candidate can be a number among a set of positive integer numbers (for example {1, 2, 4, 8, 16}). This number is called aggregation level. PDCCH candidates of a search space (corresponding to a UE) can have different or similar aggregation levels. The choice of PDCCH (among the candidates inside the search space) is done by </w:t>
      </w:r>
      <w:proofErr w:type="spellStart"/>
      <w:r w:rsidRPr="00F17D79">
        <w:rPr>
          <w:szCs w:val="22"/>
        </w:rPr>
        <w:t>gNodeB</w:t>
      </w:r>
      <w:proofErr w:type="spellEnd"/>
      <w:r w:rsidRPr="00F17D79">
        <w:rPr>
          <w:szCs w:val="22"/>
        </w:rPr>
        <w:t xml:space="preserve"> and is based on the required SNR of UE and also avoiding coincidence with the chosen PDCCH of other UEs. </w:t>
      </w:r>
    </w:p>
    <w:p w14:paraId="47A9B626" w14:textId="77777777" w:rsidR="00F17D79" w:rsidRPr="00F17D79" w:rsidRDefault="00F17D79" w:rsidP="00F17D79">
      <w:pPr>
        <w:rPr>
          <w:szCs w:val="22"/>
        </w:rPr>
      </w:pPr>
      <w:r w:rsidRPr="00F17D79">
        <w:rPr>
          <w:szCs w:val="22"/>
        </w:rPr>
        <w:t>The PDCCH candidates corresponding to a specific UE can have a hierarchical or semi-hierarchical structure, such that PDCCH candidate with larger aggregation level include all or some of CCEs corresponding to the PDCCH candidates of smaller aggregation level (as shown in Figure 4).</w:t>
      </w:r>
    </w:p>
    <w:p w14:paraId="54BDAA04" w14:textId="77777777" w:rsidR="00F17D79" w:rsidRPr="00F17D79" w:rsidRDefault="00F17D79" w:rsidP="00F17D79">
      <w:pPr>
        <w:rPr>
          <w:szCs w:val="22"/>
        </w:rPr>
      </w:pPr>
    </w:p>
    <w:p w14:paraId="3B9FAE31" w14:textId="77777777" w:rsidR="00DB7AA7" w:rsidRDefault="00DB7AA7" w:rsidP="00DB7AA7">
      <w:pPr>
        <w:keepNext/>
        <w:suppressAutoHyphens/>
        <w:spacing w:before="240" w:after="60" w:line="360" w:lineRule="auto"/>
        <w:outlineLvl w:val="0"/>
      </w:pPr>
      <w:r>
        <w:rPr>
          <w:noProof/>
          <w:lang w:val="en-US" w:eastAsia="en-US"/>
        </w:rPr>
        <w:lastRenderedPageBreak/>
        <w:drawing>
          <wp:inline distT="0" distB="0" distL="0" distR="0" wp14:anchorId="7B51BE69" wp14:editId="0A02BC0E">
            <wp:extent cx="5817235" cy="1534344"/>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36459" cy="1539415"/>
                    </a:xfrm>
                    <a:prstGeom prst="rect">
                      <a:avLst/>
                    </a:prstGeom>
                    <a:noFill/>
                  </pic:spPr>
                </pic:pic>
              </a:graphicData>
            </a:graphic>
          </wp:inline>
        </w:drawing>
      </w:r>
    </w:p>
    <w:p w14:paraId="77EA5F9F" w14:textId="77777777" w:rsidR="00DB7AA7" w:rsidRDefault="00DB7AA7" w:rsidP="00DB7AA7">
      <w:pPr>
        <w:pStyle w:val="Caption"/>
      </w:pPr>
      <w:bookmarkStart w:id="3" w:name="_Ref473626560"/>
    </w:p>
    <w:p w14:paraId="75633E16" w14:textId="77777777" w:rsidR="00DB7AA7" w:rsidRDefault="00DB7AA7" w:rsidP="00DB7AA7">
      <w:pPr>
        <w:pStyle w:val="Caption"/>
      </w:pPr>
      <w:bookmarkStart w:id="4" w:name="_Ref473646604"/>
      <w:r>
        <w:t xml:space="preserve">Figure </w:t>
      </w:r>
      <w:r>
        <w:fldChar w:fldCharType="begin"/>
      </w:r>
      <w:r>
        <w:instrText xml:space="preserve"> SEQ Figure \* ARABIC </w:instrText>
      </w:r>
      <w:r>
        <w:fldChar w:fldCharType="separate"/>
      </w:r>
      <w:r>
        <w:rPr>
          <w:noProof/>
        </w:rPr>
        <w:t>4</w:t>
      </w:r>
      <w:r>
        <w:rPr>
          <w:noProof/>
        </w:rPr>
        <w:fldChar w:fldCharType="end"/>
      </w:r>
      <w:bookmarkEnd w:id="3"/>
      <w:bookmarkEnd w:id="4"/>
      <w:r>
        <w:t>. Hierarchical structure for PDCCH candidates with different aggregation levels, corresponding to a specific UE.</w:t>
      </w:r>
    </w:p>
    <w:p w14:paraId="3EB16640" w14:textId="77777777" w:rsidR="00F17D79" w:rsidRPr="00F17D79" w:rsidRDefault="00F17D79" w:rsidP="00F17D79">
      <w:pPr>
        <w:rPr>
          <w:szCs w:val="22"/>
        </w:rPr>
      </w:pPr>
    </w:p>
    <w:p w14:paraId="36AC7D4B" w14:textId="77777777" w:rsidR="00F17D79" w:rsidRPr="00F17D79" w:rsidRDefault="00F17D79" w:rsidP="00F17D79">
      <w:pPr>
        <w:rPr>
          <w:szCs w:val="22"/>
        </w:rPr>
      </w:pPr>
      <w:r w:rsidRPr="00F17D79">
        <w:rPr>
          <w:szCs w:val="22"/>
        </w:rPr>
        <w:t>One method for mapping PDCCH candidates to CCEs and REGs is to only include REGs on the same OFDM symbol in a PDCCH candidate. In this case, if the UE receives information about the OFDM symbol corresponding to its PDCCH, it can reduce its effective search space, hence, reduce the complexity of blind detection of the PDCCH. This information can be communication using common physical control channel (common PDCCH) or other mechanisms.</w:t>
      </w:r>
    </w:p>
    <w:p w14:paraId="124F6A22" w14:textId="77777777" w:rsidR="00F17D79" w:rsidRPr="00F17D79" w:rsidRDefault="00F17D79" w:rsidP="00F17D79">
      <w:pPr>
        <w:rPr>
          <w:szCs w:val="22"/>
        </w:rPr>
      </w:pPr>
    </w:p>
    <w:p w14:paraId="0BA7638F" w14:textId="610B6F59" w:rsidR="00F17D79" w:rsidRPr="00751122" w:rsidRDefault="00BC67B1" w:rsidP="00F17D79">
      <w:pPr>
        <w:rPr>
          <w:b/>
          <w:szCs w:val="22"/>
        </w:rPr>
      </w:pPr>
      <w:r w:rsidRPr="00751122">
        <w:rPr>
          <w:b/>
          <w:szCs w:val="22"/>
        </w:rPr>
        <w:t>2</w:t>
      </w:r>
      <w:r w:rsidR="00F17D79" w:rsidRPr="00751122">
        <w:rPr>
          <w:b/>
          <w:szCs w:val="22"/>
        </w:rPr>
        <w:t>.4</w:t>
      </w:r>
      <w:r w:rsidR="00F17D79" w:rsidRPr="00751122">
        <w:rPr>
          <w:b/>
          <w:szCs w:val="22"/>
        </w:rPr>
        <w:tab/>
        <w:t>Indication of end of control region (in time)</w:t>
      </w:r>
    </w:p>
    <w:p w14:paraId="2FA32A2F" w14:textId="77777777" w:rsidR="00F17D79" w:rsidRPr="00F17D79" w:rsidRDefault="00F17D79" w:rsidP="00F17D79">
      <w:pPr>
        <w:rPr>
          <w:szCs w:val="22"/>
        </w:rPr>
      </w:pPr>
      <w:r w:rsidRPr="00F17D79">
        <w:rPr>
          <w:szCs w:val="22"/>
        </w:rPr>
        <w:t xml:space="preserve">The number of OFDM symbols that are used in the control region (which covers the search space of a set of UEs, and is also called control resource set) can be variable, </w:t>
      </w:r>
      <w:proofErr w:type="spellStart"/>
      <w:r w:rsidRPr="00F17D79">
        <w:rPr>
          <w:szCs w:val="22"/>
        </w:rPr>
        <w:t>e.g</w:t>
      </w:r>
      <w:proofErr w:type="spellEnd"/>
      <w:r w:rsidRPr="00F17D79">
        <w:rPr>
          <w:szCs w:val="22"/>
        </w:rPr>
        <w:t xml:space="preserve"> 2, 3 or other positive integers. The end of control region in time (i.e. the number of OFDM symbols of the control region) can be set semi-statically by mechanisms such </w:t>
      </w:r>
      <w:proofErr w:type="gramStart"/>
      <w:r w:rsidRPr="00F17D79">
        <w:rPr>
          <w:szCs w:val="22"/>
        </w:rPr>
        <w:t>as  Radio</w:t>
      </w:r>
      <w:proofErr w:type="gramEnd"/>
      <w:r w:rsidRPr="00F17D79">
        <w:rPr>
          <w:szCs w:val="22"/>
        </w:rPr>
        <w:t xml:space="preserve"> Resource Control (RRC), or configured dynamically and </w:t>
      </w:r>
      <w:proofErr w:type="spellStart"/>
      <w:r w:rsidRPr="00F17D79">
        <w:rPr>
          <w:szCs w:val="22"/>
        </w:rPr>
        <w:t>signaled</w:t>
      </w:r>
      <w:proofErr w:type="spellEnd"/>
      <w:r w:rsidRPr="00F17D79">
        <w:rPr>
          <w:szCs w:val="22"/>
        </w:rPr>
        <w:t xml:space="preserve"> to the UEs by common PDCCH.</w:t>
      </w:r>
    </w:p>
    <w:p w14:paraId="2196209F" w14:textId="77777777" w:rsidR="00F17D79" w:rsidRPr="00F17D79" w:rsidRDefault="00F17D79" w:rsidP="00F17D79">
      <w:pPr>
        <w:rPr>
          <w:szCs w:val="22"/>
        </w:rPr>
      </w:pPr>
      <w:r w:rsidRPr="00F17D79">
        <w:rPr>
          <w:szCs w:val="22"/>
        </w:rPr>
        <w:t xml:space="preserve">In general, the number of OFDM symbols in the control region can be different in different RBs. The number of OFDM symbols of the control channel can be even zero in parts of the frequency spectrum, that means those RBs only convey data (and no control), as shown in Figure 5. To communicate the information about the end of control region (in time), there is a need to group RBs to reduce the required information size. One method is to divide RBs into frequency </w:t>
      </w:r>
      <w:proofErr w:type="spellStart"/>
      <w:r w:rsidRPr="00F17D79">
        <w:rPr>
          <w:szCs w:val="22"/>
        </w:rPr>
        <w:t>subbands</w:t>
      </w:r>
      <w:proofErr w:type="spellEnd"/>
      <w:r w:rsidRPr="00F17D79">
        <w:rPr>
          <w:szCs w:val="22"/>
        </w:rPr>
        <w:t xml:space="preserve"> or frequency blocks or blocks of RBs (BRBs). For each BRB (that can include for example 8, 16, … RBs), the size of corresponding control part (in terms of number of OFDM symbols) is indicated separately. For example, if the number of OFDM symbols in the control region is at most 3, this information (including the possibility of zero OFDM symbols for control, </w:t>
      </w:r>
      <w:proofErr w:type="spellStart"/>
      <w:r w:rsidRPr="00F17D79">
        <w:rPr>
          <w:szCs w:val="22"/>
        </w:rPr>
        <w:t>e.i.</w:t>
      </w:r>
      <w:proofErr w:type="spellEnd"/>
      <w:r w:rsidRPr="00F17D79">
        <w:rPr>
          <w:szCs w:val="22"/>
        </w:rPr>
        <w:t xml:space="preserve"> sending only data) can be sent by 2 bits. In this case, if </w:t>
      </w:r>
      <w:proofErr w:type="spellStart"/>
      <w:r w:rsidRPr="00F17D79">
        <w:rPr>
          <w:szCs w:val="22"/>
        </w:rPr>
        <w:t>overally</w:t>
      </w:r>
      <w:proofErr w:type="spellEnd"/>
      <w:r w:rsidRPr="00F17D79">
        <w:rPr>
          <w:szCs w:val="22"/>
        </w:rPr>
        <w:t xml:space="preserve"> we have N blocks of RBs, 2N bits need to be transmitted to UEs to indicate the position of control region in the whole available system bandwidth. These 2N bits can be sent by mechanisms such </w:t>
      </w:r>
      <w:proofErr w:type="gramStart"/>
      <w:r w:rsidRPr="00F17D79">
        <w:rPr>
          <w:szCs w:val="22"/>
        </w:rPr>
        <w:t>as  Radio</w:t>
      </w:r>
      <w:proofErr w:type="gramEnd"/>
      <w:r w:rsidRPr="00F17D79">
        <w:rPr>
          <w:szCs w:val="22"/>
        </w:rPr>
        <w:t xml:space="preserve"> Resource Control (RRC), in the case of semi-static configuration, or be included in common downlink control information (DCI) and be sent by common PDCCH, in the case of dynamic configuration.</w:t>
      </w:r>
    </w:p>
    <w:p w14:paraId="176E3B8C" w14:textId="77777777" w:rsidR="00F17D79" w:rsidRPr="00F17D79" w:rsidRDefault="00F17D79" w:rsidP="00F17D79">
      <w:pPr>
        <w:rPr>
          <w:szCs w:val="22"/>
        </w:rPr>
      </w:pPr>
    </w:p>
    <w:p w14:paraId="7AEF1DC8" w14:textId="77777777" w:rsidR="00F17D79" w:rsidRPr="00F17D79" w:rsidRDefault="00F17D79" w:rsidP="00F17D79">
      <w:pPr>
        <w:rPr>
          <w:szCs w:val="22"/>
        </w:rPr>
      </w:pPr>
      <w:r w:rsidRPr="00F17D79">
        <w:rPr>
          <w:szCs w:val="22"/>
        </w:rPr>
        <w:t xml:space="preserve"> </w:t>
      </w:r>
    </w:p>
    <w:p w14:paraId="149C41A7" w14:textId="77777777" w:rsidR="00462AC5" w:rsidRDefault="00462AC5" w:rsidP="00462AC5">
      <w:pPr>
        <w:suppressAutoHyphens/>
        <w:spacing w:after="180" w:line="360" w:lineRule="auto"/>
        <w:rPr>
          <w:b/>
        </w:rPr>
      </w:pPr>
      <w:r>
        <w:rPr>
          <w:b/>
          <w:noProof/>
          <w:lang w:val="en-US" w:eastAsia="en-US"/>
        </w:rPr>
        <w:lastRenderedPageBreak/>
        <w:drawing>
          <wp:inline distT="0" distB="0" distL="0" distR="0" wp14:anchorId="1AB5DC20" wp14:editId="4DCA7750">
            <wp:extent cx="4521200" cy="240039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31460" cy="2405840"/>
                    </a:xfrm>
                    <a:prstGeom prst="rect">
                      <a:avLst/>
                    </a:prstGeom>
                    <a:noFill/>
                  </pic:spPr>
                </pic:pic>
              </a:graphicData>
            </a:graphic>
          </wp:inline>
        </w:drawing>
      </w:r>
    </w:p>
    <w:p w14:paraId="498F54D2" w14:textId="77777777" w:rsidR="00462AC5" w:rsidRDefault="00462AC5" w:rsidP="00462AC5">
      <w:pPr>
        <w:pStyle w:val="Caption"/>
      </w:pPr>
      <w:bookmarkStart w:id="5" w:name="_Ref473613949"/>
      <w:r>
        <w:t xml:space="preserve">Figure </w:t>
      </w:r>
      <w:r>
        <w:fldChar w:fldCharType="begin"/>
      </w:r>
      <w:r>
        <w:instrText xml:space="preserve"> SEQ Figure \* ARABIC </w:instrText>
      </w:r>
      <w:r>
        <w:fldChar w:fldCharType="separate"/>
      </w:r>
      <w:r>
        <w:rPr>
          <w:noProof/>
        </w:rPr>
        <w:t>5</w:t>
      </w:r>
      <w:r>
        <w:rPr>
          <w:noProof/>
        </w:rPr>
        <w:fldChar w:fldCharType="end"/>
      </w:r>
      <w:bookmarkEnd w:id="5"/>
      <w:r>
        <w:t>. The size of control region (in terms of number of OFDM symbols) can be different in different parts of the system frequency spectrum.</w:t>
      </w:r>
    </w:p>
    <w:p w14:paraId="6CC38EBC" w14:textId="77777777" w:rsidR="005C03C0" w:rsidRPr="00B43818" w:rsidRDefault="005C03C0" w:rsidP="008A0B24">
      <w:pPr>
        <w:rPr>
          <w:i/>
          <w:szCs w:val="22"/>
          <w:lang w:eastAsia="sv-SE"/>
        </w:rPr>
      </w:pPr>
    </w:p>
    <w:p w14:paraId="008B3EA7" w14:textId="22215BAA" w:rsidR="004555E3" w:rsidRPr="00B43818" w:rsidRDefault="00D71486" w:rsidP="004555E3">
      <w:pPr>
        <w:rPr>
          <w:i/>
          <w:szCs w:val="22"/>
          <w:lang w:eastAsia="sv-SE"/>
        </w:rPr>
      </w:pPr>
      <w:r>
        <w:rPr>
          <w:b/>
          <w:i/>
          <w:szCs w:val="22"/>
          <w:u w:val="single"/>
          <w:lang w:eastAsia="sv-SE"/>
        </w:rPr>
        <w:t>Proposal 2</w:t>
      </w:r>
      <w:r w:rsidR="004555E3" w:rsidRPr="00B43818">
        <w:rPr>
          <w:b/>
          <w:i/>
          <w:szCs w:val="22"/>
          <w:u w:val="single"/>
          <w:lang w:eastAsia="sv-SE"/>
        </w:rPr>
        <w:t>:</w:t>
      </w:r>
      <w:r w:rsidR="004555E3" w:rsidRPr="00B43818">
        <w:rPr>
          <w:b/>
          <w:szCs w:val="22"/>
          <w:lang w:eastAsia="sv-SE"/>
        </w:rPr>
        <w:t xml:space="preserve"> </w:t>
      </w:r>
      <w:r w:rsidR="003E128F" w:rsidRPr="00B43818">
        <w:rPr>
          <w:i/>
          <w:szCs w:val="22"/>
          <w:lang w:eastAsia="sv-SE"/>
        </w:rPr>
        <w:t xml:space="preserve">In NR </w:t>
      </w:r>
      <w:r w:rsidR="0096460D">
        <w:rPr>
          <w:i/>
          <w:szCs w:val="22"/>
          <w:lang w:eastAsia="sv-SE"/>
        </w:rPr>
        <w:t>there</w:t>
      </w:r>
      <w:r w:rsidR="003E128F" w:rsidRPr="00B43818">
        <w:rPr>
          <w:i/>
          <w:szCs w:val="22"/>
          <w:lang w:eastAsia="sv-SE"/>
        </w:rPr>
        <w:t xml:space="preserve"> should</w:t>
      </w:r>
      <w:r w:rsidR="006E7D34" w:rsidRPr="00B43818">
        <w:rPr>
          <w:i/>
          <w:szCs w:val="22"/>
          <w:lang w:eastAsia="sv-SE"/>
        </w:rPr>
        <w:t xml:space="preserve"> </w:t>
      </w:r>
      <w:r w:rsidR="0096460D">
        <w:rPr>
          <w:i/>
          <w:szCs w:val="22"/>
          <w:lang w:eastAsia="sv-SE"/>
        </w:rPr>
        <w:t>be a mechanism to indicate the number of OFDM symbols of the control resource set, which can be different for different blocks of RB</w:t>
      </w:r>
      <w:r w:rsidR="006E7D34" w:rsidRPr="00B43818">
        <w:rPr>
          <w:i/>
          <w:szCs w:val="22"/>
          <w:lang w:eastAsia="sv-SE"/>
        </w:rPr>
        <w:t xml:space="preserve">. </w:t>
      </w:r>
      <w:r w:rsidR="003E128F" w:rsidRPr="00B43818">
        <w:rPr>
          <w:szCs w:val="22"/>
          <w:lang w:eastAsia="sv-SE"/>
        </w:rPr>
        <w:t xml:space="preserve"> </w:t>
      </w:r>
    </w:p>
    <w:p w14:paraId="6F88EF93" w14:textId="7FB3DACB" w:rsidR="00721E95" w:rsidRPr="00B43818" w:rsidRDefault="00721E95" w:rsidP="00215991"/>
    <w:p w14:paraId="596E93DF" w14:textId="4893F5BD" w:rsidR="00821C42" w:rsidRPr="00B43818" w:rsidRDefault="00BF17FD" w:rsidP="00821C42">
      <w:pPr>
        <w:pStyle w:val="Heading1"/>
        <w:pBdr>
          <w:top w:val="single" w:sz="12" w:space="5" w:color="auto"/>
        </w:pBdr>
        <w:spacing w:after="120"/>
        <w:rPr>
          <w:rFonts w:ascii="Times New Roman" w:hAnsi="Times New Roman"/>
          <w:b/>
          <w:sz w:val="32"/>
          <w:lang w:val="en-US"/>
        </w:rPr>
      </w:pPr>
      <w:r w:rsidRPr="00B43818">
        <w:rPr>
          <w:rFonts w:ascii="Times New Roman" w:hAnsi="Times New Roman"/>
          <w:b/>
          <w:sz w:val="32"/>
          <w:lang w:val="en-US"/>
        </w:rPr>
        <w:t>Summary</w:t>
      </w:r>
    </w:p>
    <w:p w14:paraId="695697E4" w14:textId="31CF81F7" w:rsidR="009F4088" w:rsidRDefault="003242DD" w:rsidP="009F4088">
      <w:pPr>
        <w:rPr>
          <w:szCs w:val="22"/>
        </w:rPr>
      </w:pPr>
      <w:r w:rsidRPr="00B43818">
        <w:rPr>
          <w:szCs w:val="22"/>
        </w:rPr>
        <w:t>This contribution discussed</w:t>
      </w:r>
      <w:r w:rsidR="00220819" w:rsidRPr="00B43818">
        <w:rPr>
          <w:szCs w:val="22"/>
        </w:rPr>
        <w:t xml:space="preserve"> </w:t>
      </w:r>
      <w:r w:rsidR="00D267AA" w:rsidRPr="00B43818">
        <w:rPr>
          <w:szCs w:val="22"/>
        </w:rPr>
        <w:t xml:space="preserve">the </w:t>
      </w:r>
      <w:r w:rsidR="005C03C0">
        <w:rPr>
          <w:szCs w:val="22"/>
        </w:rPr>
        <w:t>overall design of</w:t>
      </w:r>
      <w:r w:rsidR="009F4088" w:rsidRPr="00B43818">
        <w:rPr>
          <w:szCs w:val="22"/>
        </w:rPr>
        <w:t xml:space="preserve"> NR-PDCCH </w:t>
      </w:r>
      <w:r w:rsidR="005C03C0">
        <w:rPr>
          <w:szCs w:val="22"/>
        </w:rPr>
        <w:t xml:space="preserve">and the structure of NR-PDCCH </w:t>
      </w:r>
      <w:r w:rsidR="009F4088" w:rsidRPr="00B43818">
        <w:rPr>
          <w:szCs w:val="22"/>
        </w:rPr>
        <w:t>candidates.</w:t>
      </w:r>
      <w:r w:rsidR="00970BEB">
        <w:rPr>
          <w:szCs w:val="22"/>
        </w:rPr>
        <w:t xml:space="preserve"> We discussed the mapping and relationship between NR-PDCCH candidates, CCEs</w:t>
      </w:r>
      <w:r w:rsidR="00AB4E24">
        <w:rPr>
          <w:szCs w:val="22"/>
        </w:rPr>
        <w:t xml:space="preserve">, REGs, and the </w:t>
      </w:r>
      <w:proofErr w:type="spellStart"/>
      <w:r w:rsidR="00AB4E24">
        <w:rPr>
          <w:szCs w:val="22"/>
        </w:rPr>
        <w:t>RE</w:t>
      </w:r>
      <w:bookmarkStart w:id="6" w:name="_GoBack"/>
      <w:bookmarkEnd w:id="6"/>
      <w:r w:rsidR="00970BEB">
        <w:rPr>
          <w:szCs w:val="22"/>
        </w:rPr>
        <w:t>s.</w:t>
      </w:r>
      <w:proofErr w:type="spellEnd"/>
      <w:r w:rsidR="00970BEB">
        <w:rPr>
          <w:szCs w:val="22"/>
        </w:rPr>
        <w:t xml:space="preserve"> Also, a mechanism is proposed to indicate the end of control resource set in time (that can be different in different parts of the spectrum).</w:t>
      </w:r>
    </w:p>
    <w:p w14:paraId="5CA4D98E" w14:textId="77777777" w:rsidR="002C493F" w:rsidRPr="00B43818" w:rsidRDefault="002C493F" w:rsidP="009F4088">
      <w:pPr>
        <w:rPr>
          <w:szCs w:val="22"/>
        </w:rPr>
      </w:pPr>
    </w:p>
    <w:p w14:paraId="6969AE8C" w14:textId="77777777" w:rsidR="00D71486" w:rsidRPr="00B43818" w:rsidRDefault="00D71486" w:rsidP="00D71486">
      <w:pPr>
        <w:rPr>
          <w:i/>
          <w:szCs w:val="22"/>
          <w:lang w:eastAsia="sv-SE"/>
        </w:rPr>
      </w:pPr>
      <w:r w:rsidRPr="00B43818">
        <w:rPr>
          <w:b/>
          <w:i/>
          <w:szCs w:val="22"/>
          <w:u w:val="single"/>
          <w:lang w:eastAsia="sv-SE"/>
        </w:rPr>
        <w:t>Proposal 1:</w:t>
      </w:r>
      <w:r w:rsidRPr="00B43818">
        <w:rPr>
          <w:b/>
          <w:szCs w:val="22"/>
          <w:lang w:eastAsia="sv-SE"/>
        </w:rPr>
        <w:t xml:space="preserve"> </w:t>
      </w:r>
      <w:r w:rsidRPr="00B43818">
        <w:rPr>
          <w:i/>
          <w:szCs w:val="22"/>
          <w:lang w:eastAsia="sv-SE"/>
        </w:rPr>
        <w:t>In NR</w:t>
      </w:r>
      <w:r>
        <w:rPr>
          <w:i/>
          <w:szCs w:val="22"/>
          <w:lang w:eastAsia="sv-SE"/>
        </w:rPr>
        <w:t>,</w:t>
      </w:r>
      <w:r w:rsidRPr="00B43818">
        <w:rPr>
          <w:i/>
          <w:szCs w:val="22"/>
          <w:lang w:eastAsia="sv-SE"/>
        </w:rPr>
        <w:t xml:space="preserve"> </w:t>
      </w:r>
      <w:r>
        <w:rPr>
          <w:i/>
          <w:szCs w:val="22"/>
          <w:lang w:eastAsia="sv-SE"/>
        </w:rPr>
        <w:t>location of DMRS inside REGs should be defined for each case of single-port and dual-port transmission</w:t>
      </w:r>
      <w:r w:rsidRPr="00B43818">
        <w:rPr>
          <w:i/>
          <w:szCs w:val="22"/>
          <w:lang w:eastAsia="sv-SE"/>
        </w:rPr>
        <w:t xml:space="preserve">. </w:t>
      </w:r>
      <w:r w:rsidRPr="00B43818">
        <w:rPr>
          <w:szCs w:val="22"/>
          <w:lang w:eastAsia="sv-SE"/>
        </w:rPr>
        <w:t xml:space="preserve"> </w:t>
      </w:r>
    </w:p>
    <w:p w14:paraId="65B6A574" w14:textId="77777777" w:rsidR="00D71486" w:rsidRPr="00B43818" w:rsidRDefault="00D71486" w:rsidP="00D71486">
      <w:pPr>
        <w:rPr>
          <w:i/>
          <w:szCs w:val="22"/>
          <w:lang w:eastAsia="sv-SE"/>
        </w:rPr>
      </w:pPr>
      <w:r>
        <w:rPr>
          <w:b/>
          <w:i/>
          <w:szCs w:val="22"/>
          <w:u w:val="single"/>
          <w:lang w:eastAsia="sv-SE"/>
        </w:rPr>
        <w:t>Proposal 2</w:t>
      </w:r>
      <w:r w:rsidRPr="00B43818">
        <w:rPr>
          <w:b/>
          <w:i/>
          <w:szCs w:val="22"/>
          <w:u w:val="single"/>
          <w:lang w:eastAsia="sv-SE"/>
        </w:rPr>
        <w:t>:</w:t>
      </w:r>
      <w:r w:rsidRPr="00B43818">
        <w:rPr>
          <w:b/>
          <w:szCs w:val="22"/>
          <w:lang w:eastAsia="sv-SE"/>
        </w:rPr>
        <w:t xml:space="preserve"> </w:t>
      </w:r>
      <w:r w:rsidRPr="00B43818">
        <w:rPr>
          <w:i/>
          <w:szCs w:val="22"/>
          <w:lang w:eastAsia="sv-SE"/>
        </w:rPr>
        <w:t xml:space="preserve">In NR </w:t>
      </w:r>
      <w:r>
        <w:rPr>
          <w:i/>
          <w:szCs w:val="22"/>
          <w:lang w:eastAsia="sv-SE"/>
        </w:rPr>
        <w:t>there</w:t>
      </w:r>
      <w:r w:rsidRPr="00B43818">
        <w:rPr>
          <w:i/>
          <w:szCs w:val="22"/>
          <w:lang w:eastAsia="sv-SE"/>
        </w:rPr>
        <w:t xml:space="preserve"> should </w:t>
      </w:r>
      <w:r>
        <w:rPr>
          <w:i/>
          <w:szCs w:val="22"/>
          <w:lang w:eastAsia="sv-SE"/>
        </w:rPr>
        <w:t>be a mechanism to indicate the number of OFDM symbols of the control resource set, which can be different for different blocks of RB</w:t>
      </w:r>
      <w:r w:rsidRPr="00B43818">
        <w:rPr>
          <w:i/>
          <w:szCs w:val="22"/>
          <w:lang w:eastAsia="sv-SE"/>
        </w:rPr>
        <w:t xml:space="preserve">. </w:t>
      </w:r>
      <w:r w:rsidRPr="00B43818">
        <w:rPr>
          <w:szCs w:val="22"/>
          <w:lang w:eastAsia="sv-SE"/>
        </w:rPr>
        <w:t xml:space="preserve"> </w:t>
      </w:r>
    </w:p>
    <w:p w14:paraId="7A7E4D34" w14:textId="31CFB118" w:rsidR="00746CE2" w:rsidRPr="00B43818" w:rsidRDefault="00746CE2" w:rsidP="003242DD">
      <w:pPr>
        <w:rPr>
          <w:sz w:val="20"/>
        </w:rPr>
      </w:pPr>
    </w:p>
    <w:p w14:paraId="0EF7466D" w14:textId="77777777" w:rsidR="00251B4A" w:rsidRPr="00B43818" w:rsidRDefault="00251B4A" w:rsidP="00251B4A">
      <w:pPr>
        <w:pStyle w:val="Heading1"/>
        <w:rPr>
          <w:rFonts w:ascii="Times New Roman" w:hAnsi="Times New Roman"/>
          <w:b/>
          <w:sz w:val="32"/>
          <w:lang w:val="en-US"/>
        </w:rPr>
      </w:pPr>
      <w:r w:rsidRPr="00B43818">
        <w:rPr>
          <w:rFonts w:ascii="Times New Roman" w:hAnsi="Times New Roman"/>
          <w:b/>
          <w:sz w:val="32"/>
          <w:lang w:val="en-US"/>
        </w:rPr>
        <w:t>References</w:t>
      </w:r>
    </w:p>
    <w:p w14:paraId="1CA3A936" w14:textId="090FF432" w:rsidR="00E246F8" w:rsidRPr="00B43818" w:rsidRDefault="008E6321" w:rsidP="005266DD">
      <w:pPr>
        <w:pStyle w:val="Reference"/>
        <w:rPr>
          <w:szCs w:val="22"/>
        </w:rPr>
      </w:pPr>
      <w:bookmarkStart w:id="7" w:name="_Ref455734493"/>
      <w:bookmarkStart w:id="8" w:name="_Ref434502751"/>
      <w:bookmarkStart w:id="9" w:name="_Ref419296613"/>
      <w:bookmarkStart w:id="10" w:name="_Ref434227915"/>
      <w:bookmarkStart w:id="11" w:name="_Ref434501473"/>
      <w:r w:rsidRPr="00B43818">
        <w:rPr>
          <w:szCs w:val="22"/>
        </w:rPr>
        <w:t>RAN1</w:t>
      </w:r>
      <w:r w:rsidR="00087145">
        <w:rPr>
          <w:szCs w:val="22"/>
        </w:rPr>
        <w:t xml:space="preserve"> </w:t>
      </w:r>
      <w:r w:rsidR="00EA7656">
        <w:rPr>
          <w:szCs w:val="22"/>
        </w:rPr>
        <w:t>Ad Hoc</w:t>
      </w:r>
      <w:r w:rsidR="0092398B">
        <w:rPr>
          <w:szCs w:val="22"/>
        </w:rPr>
        <w:t xml:space="preserve"> meeting</w:t>
      </w:r>
      <w:r w:rsidR="005266DD" w:rsidRPr="00B43818">
        <w:rPr>
          <w:szCs w:val="22"/>
        </w:rPr>
        <w:t xml:space="preserve"> Chairman’s Note</w:t>
      </w:r>
      <w:bookmarkEnd w:id="7"/>
      <w:r w:rsidR="005266DD" w:rsidRPr="00B43818">
        <w:rPr>
          <w:szCs w:val="22"/>
        </w:rPr>
        <w:t>s</w:t>
      </w:r>
      <w:bookmarkEnd w:id="8"/>
      <w:bookmarkEnd w:id="9"/>
      <w:bookmarkEnd w:id="10"/>
      <w:bookmarkEnd w:id="11"/>
    </w:p>
    <w:p w14:paraId="4CF95F94" w14:textId="77777777" w:rsidR="002D0F2A" w:rsidRPr="00B43818" w:rsidRDefault="002D0F2A" w:rsidP="002D0F2A">
      <w:pPr>
        <w:pStyle w:val="Reference"/>
        <w:numPr>
          <w:ilvl w:val="0"/>
          <w:numId w:val="0"/>
        </w:numPr>
        <w:ind w:left="567"/>
        <w:rPr>
          <w:szCs w:val="22"/>
        </w:rPr>
      </w:pPr>
    </w:p>
    <w:p w14:paraId="03409F5F" w14:textId="5C8AA68D" w:rsidR="00C66A49" w:rsidRPr="00B43818" w:rsidRDefault="00C66A49" w:rsidP="00A0293F">
      <w:pPr>
        <w:pStyle w:val="Reference"/>
        <w:numPr>
          <w:ilvl w:val="0"/>
          <w:numId w:val="0"/>
        </w:numPr>
        <w:ind w:left="567"/>
        <w:rPr>
          <w:szCs w:val="22"/>
        </w:rPr>
      </w:pPr>
    </w:p>
    <w:sectPr w:rsidR="00C66A49" w:rsidRPr="00B43818" w:rsidSect="00D55085">
      <w:headerReference w:type="even" r:id="rId18"/>
      <w:footerReference w:type="default" r:id="rId19"/>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8E4638" w14:textId="77777777" w:rsidR="003E7464" w:rsidRDefault="003E7464">
      <w:r>
        <w:separator/>
      </w:r>
    </w:p>
  </w:endnote>
  <w:endnote w:type="continuationSeparator" w:id="0">
    <w:p w14:paraId="76D5D61A" w14:textId="77777777" w:rsidR="003E7464" w:rsidRDefault="003E7464">
      <w:r>
        <w:continuationSeparator/>
      </w:r>
    </w:p>
  </w:endnote>
  <w:endnote w:type="continuationNotice" w:id="1">
    <w:p w14:paraId="45921270" w14:textId="77777777" w:rsidR="003E7464" w:rsidRDefault="003E74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01EEEF4A"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B4E24">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B4E24">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98D6E4" w14:textId="77777777" w:rsidR="003E7464" w:rsidRDefault="003E7464">
      <w:r>
        <w:separator/>
      </w:r>
    </w:p>
  </w:footnote>
  <w:footnote w:type="continuationSeparator" w:id="0">
    <w:p w14:paraId="72B93EDC" w14:textId="77777777" w:rsidR="003E7464" w:rsidRDefault="003E7464">
      <w:r>
        <w:continuationSeparator/>
      </w:r>
    </w:p>
  </w:footnote>
  <w:footnote w:type="continuationNotice" w:id="1">
    <w:p w14:paraId="6495F156" w14:textId="77777777" w:rsidR="003E7464" w:rsidRDefault="003E74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ED1AD6"/>
    <w:multiLevelType w:val="hybridMultilevel"/>
    <w:tmpl w:val="7F72B2CA"/>
    <w:lvl w:ilvl="0" w:tplc="9D44CB7E">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tentative="1">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A47297"/>
    <w:multiLevelType w:val="hybridMultilevel"/>
    <w:tmpl w:val="CCDCB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4144E"/>
    <w:multiLevelType w:val="hybridMultilevel"/>
    <w:tmpl w:val="3654BE4C"/>
    <w:lvl w:ilvl="0" w:tplc="F47011B8">
      <w:start w:val="1"/>
      <w:numFmt w:val="bullet"/>
      <w:lvlText w:val="–"/>
      <w:lvlJc w:val="left"/>
      <w:pPr>
        <w:tabs>
          <w:tab w:val="num" w:pos="360"/>
        </w:tabs>
        <w:ind w:left="360" w:hanging="360"/>
      </w:pPr>
      <w:rPr>
        <w:rFonts w:ascii="MS PGothic" w:hAnsi="MS PGothic" w:hint="default"/>
      </w:rPr>
    </w:lvl>
    <w:lvl w:ilvl="1" w:tplc="2B82804E">
      <w:start w:val="1"/>
      <w:numFmt w:val="bullet"/>
      <w:lvlText w:val="–"/>
      <w:lvlJc w:val="left"/>
      <w:pPr>
        <w:tabs>
          <w:tab w:val="num" w:pos="1080"/>
        </w:tabs>
        <w:ind w:left="1080" w:hanging="360"/>
      </w:pPr>
      <w:rPr>
        <w:rFonts w:ascii="MS PGothic" w:hAnsi="MS PGothic" w:hint="default"/>
      </w:rPr>
    </w:lvl>
    <w:lvl w:ilvl="2" w:tplc="A862473C">
      <w:start w:val="1934"/>
      <w:numFmt w:val="bullet"/>
      <w:lvlText w:val="•"/>
      <w:lvlJc w:val="left"/>
      <w:pPr>
        <w:tabs>
          <w:tab w:val="num" w:pos="1800"/>
        </w:tabs>
        <w:ind w:left="1800" w:hanging="360"/>
      </w:pPr>
      <w:rPr>
        <w:rFonts w:ascii="MS PGothic" w:hAnsi="MS PGothic" w:hint="default"/>
      </w:rPr>
    </w:lvl>
    <w:lvl w:ilvl="3" w:tplc="497CA8A6">
      <w:start w:val="1934"/>
      <w:numFmt w:val="bullet"/>
      <w:lvlText w:val="–"/>
      <w:lvlJc w:val="left"/>
      <w:pPr>
        <w:tabs>
          <w:tab w:val="num" w:pos="2520"/>
        </w:tabs>
        <w:ind w:left="2520" w:hanging="360"/>
      </w:pPr>
      <w:rPr>
        <w:rFonts w:ascii="MS PGothic" w:hAnsi="MS PGothic" w:hint="default"/>
      </w:rPr>
    </w:lvl>
    <w:lvl w:ilvl="4" w:tplc="5B5EAB26" w:tentative="1">
      <w:start w:val="1"/>
      <w:numFmt w:val="bullet"/>
      <w:lvlText w:val="–"/>
      <w:lvlJc w:val="left"/>
      <w:pPr>
        <w:tabs>
          <w:tab w:val="num" w:pos="3240"/>
        </w:tabs>
        <w:ind w:left="3240" w:hanging="360"/>
      </w:pPr>
      <w:rPr>
        <w:rFonts w:ascii="MS PGothic" w:hAnsi="MS PGothic" w:hint="default"/>
      </w:rPr>
    </w:lvl>
    <w:lvl w:ilvl="5" w:tplc="49F49692" w:tentative="1">
      <w:start w:val="1"/>
      <w:numFmt w:val="bullet"/>
      <w:lvlText w:val="–"/>
      <w:lvlJc w:val="left"/>
      <w:pPr>
        <w:tabs>
          <w:tab w:val="num" w:pos="3960"/>
        </w:tabs>
        <w:ind w:left="3960" w:hanging="360"/>
      </w:pPr>
      <w:rPr>
        <w:rFonts w:ascii="MS PGothic" w:hAnsi="MS PGothic" w:hint="default"/>
      </w:rPr>
    </w:lvl>
    <w:lvl w:ilvl="6" w:tplc="F040654E" w:tentative="1">
      <w:start w:val="1"/>
      <w:numFmt w:val="bullet"/>
      <w:lvlText w:val="–"/>
      <w:lvlJc w:val="left"/>
      <w:pPr>
        <w:tabs>
          <w:tab w:val="num" w:pos="4680"/>
        </w:tabs>
        <w:ind w:left="4680" w:hanging="360"/>
      </w:pPr>
      <w:rPr>
        <w:rFonts w:ascii="MS PGothic" w:hAnsi="MS PGothic" w:hint="default"/>
      </w:rPr>
    </w:lvl>
    <w:lvl w:ilvl="7" w:tplc="F4CA95F0" w:tentative="1">
      <w:start w:val="1"/>
      <w:numFmt w:val="bullet"/>
      <w:lvlText w:val="–"/>
      <w:lvlJc w:val="left"/>
      <w:pPr>
        <w:tabs>
          <w:tab w:val="num" w:pos="5400"/>
        </w:tabs>
        <w:ind w:left="5400" w:hanging="360"/>
      </w:pPr>
      <w:rPr>
        <w:rFonts w:ascii="MS PGothic" w:hAnsi="MS PGothic" w:hint="default"/>
      </w:rPr>
    </w:lvl>
    <w:lvl w:ilvl="8" w:tplc="B07E4078" w:tentative="1">
      <w:start w:val="1"/>
      <w:numFmt w:val="bullet"/>
      <w:lvlText w:val="–"/>
      <w:lvlJc w:val="left"/>
      <w:pPr>
        <w:tabs>
          <w:tab w:val="num" w:pos="6120"/>
        </w:tabs>
        <w:ind w:left="6120" w:hanging="360"/>
      </w:pPr>
      <w:rPr>
        <w:rFonts w:ascii="MS PGothic" w:hAnsi="MS PGothic" w:hint="default"/>
      </w:rPr>
    </w:lvl>
  </w:abstractNum>
  <w:num w:numId="1">
    <w:abstractNumId w:val="0"/>
  </w:num>
  <w:num w:numId="2">
    <w:abstractNumId w:val="15"/>
  </w:num>
  <w:num w:numId="3">
    <w:abstractNumId w:val="11"/>
  </w:num>
  <w:num w:numId="4">
    <w:abstractNumId w:val="12"/>
  </w:num>
  <w:num w:numId="5">
    <w:abstractNumId w:val="8"/>
  </w:num>
  <w:num w:numId="6">
    <w:abstractNumId w:val="13"/>
  </w:num>
  <w:num w:numId="7">
    <w:abstractNumId w:val="16"/>
  </w:num>
  <w:num w:numId="8">
    <w:abstractNumId w:val="9"/>
  </w:num>
  <w:num w:numId="9">
    <w:abstractNumId w:val="19"/>
  </w:num>
  <w:num w:numId="10">
    <w:abstractNumId w:val="4"/>
  </w:num>
  <w:num w:numId="11">
    <w:abstractNumId w:val="1"/>
  </w:num>
  <w:num w:numId="12">
    <w:abstractNumId w:val="14"/>
  </w:num>
  <w:num w:numId="13">
    <w:abstractNumId w:val="18"/>
  </w:num>
  <w:num w:numId="14">
    <w:abstractNumId w:val="3"/>
  </w:num>
  <w:num w:numId="15">
    <w:abstractNumId w:val="0"/>
  </w:num>
  <w:num w:numId="16">
    <w:abstractNumId w:val="5"/>
  </w:num>
  <w:num w:numId="17">
    <w:abstractNumId w:val="17"/>
  </w:num>
  <w:num w:numId="18">
    <w:abstractNumId w:val="7"/>
  </w:num>
  <w:num w:numId="19">
    <w:abstractNumId w:val="20"/>
  </w:num>
  <w:num w:numId="20">
    <w:abstractNumId w:val="6"/>
  </w:num>
  <w:num w:numId="21">
    <w:abstractNumId w:val="2"/>
  </w:num>
  <w:num w:numId="2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39"/>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87145"/>
    <w:rsid w:val="0009009F"/>
    <w:rsid w:val="00090AF4"/>
    <w:rsid w:val="00090D19"/>
    <w:rsid w:val="00091557"/>
    <w:rsid w:val="00092083"/>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03F"/>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0FF"/>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89C"/>
    <w:rsid w:val="00123CA8"/>
    <w:rsid w:val="00123D2C"/>
    <w:rsid w:val="001248FC"/>
    <w:rsid w:val="00125448"/>
    <w:rsid w:val="00125B92"/>
    <w:rsid w:val="00125D8C"/>
    <w:rsid w:val="00125FDB"/>
    <w:rsid w:val="00126305"/>
    <w:rsid w:val="00126B4A"/>
    <w:rsid w:val="00126C37"/>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47FB"/>
    <w:rsid w:val="00145B01"/>
    <w:rsid w:val="00146904"/>
    <w:rsid w:val="00146964"/>
    <w:rsid w:val="00146989"/>
    <w:rsid w:val="00147BDE"/>
    <w:rsid w:val="001506B3"/>
    <w:rsid w:val="00150C1E"/>
    <w:rsid w:val="001510DF"/>
    <w:rsid w:val="001517A7"/>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27E"/>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9A8"/>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1EA"/>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493F"/>
    <w:rsid w:val="002C6364"/>
    <w:rsid w:val="002C6E1A"/>
    <w:rsid w:val="002C6FCD"/>
    <w:rsid w:val="002C7166"/>
    <w:rsid w:val="002C71A1"/>
    <w:rsid w:val="002C76BF"/>
    <w:rsid w:val="002D02C7"/>
    <w:rsid w:val="002D0371"/>
    <w:rsid w:val="002D071A"/>
    <w:rsid w:val="002D0F2A"/>
    <w:rsid w:val="002D102E"/>
    <w:rsid w:val="002D2E85"/>
    <w:rsid w:val="002D34B2"/>
    <w:rsid w:val="002D4147"/>
    <w:rsid w:val="002D4863"/>
    <w:rsid w:val="002D4ABC"/>
    <w:rsid w:val="002D5255"/>
    <w:rsid w:val="002D5933"/>
    <w:rsid w:val="002D5BFA"/>
    <w:rsid w:val="002D6218"/>
    <w:rsid w:val="002D652A"/>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E11"/>
    <w:rsid w:val="002F2F73"/>
    <w:rsid w:val="002F37A9"/>
    <w:rsid w:val="002F4AE1"/>
    <w:rsid w:val="002F513E"/>
    <w:rsid w:val="002F5609"/>
    <w:rsid w:val="002F585B"/>
    <w:rsid w:val="002F5A1A"/>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349"/>
    <w:rsid w:val="00320177"/>
    <w:rsid w:val="003203ED"/>
    <w:rsid w:val="0032130F"/>
    <w:rsid w:val="00322820"/>
    <w:rsid w:val="00322C9F"/>
    <w:rsid w:val="003233E6"/>
    <w:rsid w:val="00324135"/>
    <w:rsid w:val="003242DD"/>
    <w:rsid w:val="00324AA1"/>
    <w:rsid w:val="00324D23"/>
    <w:rsid w:val="00325768"/>
    <w:rsid w:val="00325884"/>
    <w:rsid w:val="00325F35"/>
    <w:rsid w:val="00326059"/>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09E"/>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3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3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68F"/>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6E8"/>
    <w:rsid w:val="003E3A77"/>
    <w:rsid w:val="003E3DD1"/>
    <w:rsid w:val="003E42D2"/>
    <w:rsid w:val="003E4493"/>
    <w:rsid w:val="003E46C7"/>
    <w:rsid w:val="003E4789"/>
    <w:rsid w:val="003E517D"/>
    <w:rsid w:val="003E55E4"/>
    <w:rsid w:val="003E5B3A"/>
    <w:rsid w:val="003E64AD"/>
    <w:rsid w:val="003E7090"/>
    <w:rsid w:val="003E7464"/>
    <w:rsid w:val="003E74E3"/>
    <w:rsid w:val="003E7676"/>
    <w:rsid w:val="003F05C7"/>
    <w:rsid w:val="003F1D3F"/>
    <w:rsid w:val="003F24A2"/>
    <w:rsid w:val="003F25D5"/>
    <w:rsid w:val="003F2CD4"/>
    <w:rsid w:val="003F318B"/>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32B"/>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552A"/>
    <w:rsid w:val="00437447"/>
    <w:rsid w:val="00440C67"/>
    <w:rsid w:val="004410B9"/>
    <w:rsid w:val="00441829"/>
    <w:rsid w:val="00441A92"/>
    <w:rsid w:val="004427DC"/>
    <w:rsid w:val="00442A5F"/>
    <w:rsid w:val="004432F1"/>
    <w:rsid w:val="00443C63"/>
    <w:rsid w:val="00444B1D"/>
    <w:rsid w:val="00444F56"/>
    <w:rsid w:val="004452C3"/>
    <w:rsid w:val="00445828"/>
    <w:rsid w:val="004459B0"/>
    <w:rsid w:val="004459C8"/>
    <w:rsid w:val="004460DF"/>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AC5"/>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4B8D"/>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5CF"/>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3116"/>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07972"/>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A05"/>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1CB"/>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3E70"/>
    <w:rsid w:val="005B4C4E"/>
    <w:rsid w:val="005B4F4D"/>
    <w:rsid w:val="005B5493"/>
    <w:rsid w:val="005B5511"/>
    <w:rsid w:val="005B576D"/>
    <w:rsid w:val="005B5EAF"/>
    <w:rsid w:val="005B673A"/>
    <w:rsid w:val="005B6972"/>
    <w:rsid w:val="005B6D71"/>
    <w:rsid w:val="005B6F83"/>
    <w:rsid w:val="005C03C0"/>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3BD2"/>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B00"/>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51F2"/>
    <w:rsid w:val="006362D2"/>
    <w:rsid w:val="00636398"/>
    <w:rsid w:val="0063672F"/>
    <w:rsid w:val="006367D3"/>
    <w:rsid w:val="006368D3"/>
    <w:rsid w:val="006369E9"/>
    <w:rsid w:val="006377EC"/>
    <w:rsid w:val="00640E32"/>
    <w:rsid w:val="00640F0A"/>
    <w:rsid w:val="0064151F"/>
    <w:rsid w:val="00641533"/>
    <w:rsid w:val="006415B3"/>
    <w:rsid w:val="006417A9"/>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47F68"/>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280"/>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516"/>
    <w:rsid w:val="00696949"/>
    <w:rsid w:val="00697052"/>
    <w:rsid w:val="00697530"/>
    <w:rsid w:val="00697F2A"/>
    <w:rsid w:val="006A06B2"/>
    <w:rsid w:val="006A0E56"/>
    <w:rsid w:val="006A0ECE"/>
    <w:rsid w:val="006A325E"/>
    <w:rsid w:val="006A46FB"/>
    <w:rsid w:val="006A4DF1"/>
    <w:rsid w:val="006A52D5"/>
    <w:rsid w:val="006A586C"/>
    <w:rsid w:val="006A5E28"/>
    <w:rsid w:val="006A613C"/>
    <w:rsid w:val="006A6555"/>
    <w:rsid w:val="006A697B"/>
    <w:rsid w:val="006A78F3"/>
    <w:rsid w:val="006A7AFF"/>
    <w:rsid w:val="006B040B"/>
    <w:rsid w:val="006B064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6E36"/>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4"/>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B59"/>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854"/>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985"/>
    <w:rsid w:val="0074063A"/>
    <w:rsid w:val="00740E58"/>
    <w:rsid w:val="00741368"/>
    <w:rsid w:val="007427AE"/>
    <w:rsid w:val="007445A0"/>
    <w:rsid w:val="007451E7"/>
    <w:rsid w:val="0074524B"/>
    <w:rsid w:val="00746608"/>
    <w:rsid w:val="00746CE2"/>
    <w:rsid w:val="00746EAC"/>
    <w:rsid w:val="007471D5"/>
    <w:rsid w:val="007474A3"/>
    <w:rsid w:val="00747D8B"/>
    <w:rsid w:val="00751122"/>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1DE7"/>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09C8"/>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223"/>
    <w:rsid w:val="007F5988"/>
    <w:rsid w:val="007F7F41"/>
    <w:rsid w:val="0080009E"/>
    <w:rsid w:val="0080073B"/>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71B"/>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29F"/>
    <w:rsid w:val="00872DD4"/>
    <w:rsid w:val="00872DF0"/>
    <w:rsid w:val="00872E99"/>
    <w:rsid w:val="008735D7"/>
    <w:rsid w:val="00873921"/>
    <w:rsid w:val="008739E4"/>
    <w:rsid w:val="00874312"/>
    <w:rsid w:val="0087437C"/>
    <w:rsid w:val="008743D3"/>
    <w:rsid w:val="008759A0"/>
    <w:rsid w:val="00875CD7"/>
    <w:rsid w:val="00876329"/>
    <w:rsid w:val="008763D3"/>
    <w:rsid w:val="00876B4D"/>
    <w:rsid w:val="00876C18"/>
    <w:rsid w:val="00877943"/>
    <w:rsid w:val="00877F18"/>
    <w:rsid w:val="00880FCF"/>
    <w:rsid w:val="00881595"/>
    <w:rsid w:val="0088173D"/>
    <w:rsid w:val="00881CDD"/>
    <w:rsid w:val="00882349"/>
    <w:rsid w:val="00883005"/>
    <w:rsid w:val="008846AC"/>
    <w:rsid w:val="008848F9"/>
    <w:rsid w:val="00886D00"/>
    <w:rsid w:val="00886D44"/>
    <w:rsid w:val="00886F61"/>
    <w:rsid w:val="00887B43"/>
    <w:rsid w:val="008907CA"/>
    <w:rsid w:val="00890CB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3757"/>
    <w:rsid w:val="008B45A3"/>
    <w:rsid w:val="008B4D4B"/>
    <w:rsid w:val="008B5156"/>
    <w:rsid w:val="008B51A0"/>
    <w:rsid w:val="008B592A"/>
    <w:rsid w:val="008B5CDC"/>
    <w:rsid w:val="008B5D1A"/>
    <w:rsid w:val="008B6276"/>
    <w:rsid w:val="008B7465"/>
    <w:rsid w:val="008B7758"/>
    <w:rsid w:val="008B7B5C"/>
    <w:rsid w:val="008C035B"/>
    <w:rsid w:val="008C08D7"/>
    <w:rsid w:val="008C0C99"/>
    <w:rsid w:val="008C10C9"/>
    <w:rsid w:val="008C1C27"/>
    <w:rsid w:val="008C1F0E"/>
    <w:rsid w:val="008C1FC4"/>
    <w:rsid w:val="008C2017"/>
    <w:rsid w:val="008C280E"/>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D7696"/>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2F2"/>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7F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98B"/>
    <w:rsid w:val="00923BD4"/>
    <w:rsid w:val="0092533B"/>
    <w:rsid w:val="0092560F"/>
    <w:rsid w:val="00925878"/>
    <w:rsid w:val="00925CBD"/>
    <w:rsid w:val="00927AAE"/>
    <w:rsid w:val="00931BD9"/>
    <w:rsid w:val="00932130"/>
    <w:rsid w:val="00932952"/>
    <w:rsid w:val="00933367"/>
    <w:rsid w:val="0093353E"/>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30A"/>
    <w:rsid w:val="00964464"/>
    <w:rsid w:val="0096460D"/>
    <w:rsid w:val="0096475B"/>
    <w:rsid w:val="0096554B"/>
    <w:rsid w:val="0096584A"/>
    <w:rsid w:val="00965A4F"/>
    <w:rsid w:val="00965BD7"/>
    <w:rsid w:val="00965E61"/>
    <w:rsid w:val="00967013"/>
    <w:rsid w:val="0096766E"/>
    <w:rsid w:val="00970BEB"/>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40"/>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7EB"/>
    <w:rsid w:val="009F3B1B"/>
    <w:rsid w:val="009F4088"/>
    <w:rsid w:val="009F753B"/>
    <w:rsid w:val="009F7BDB"/>
    <w:rsid w:val="009F7C5C"/>
    <w:rsid w:val="009F7DAD"/>
    <w:rsid w:val="009F7E85"/>
    <w:rsid w:val="00A00254"/>
    <w:rsid w:val="00A0026D"/>
    <w:rsid w:val="00A0039D"/>
    <w:rsid w:val="00A021CA"/>
    <w:rsid w:val="00A0293F"/>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1A8"/>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4E24"/>
    <w:rsid w:val="00AB5469"/>
    <w:rsid w:val="00AB655E"/>
    <w:rsid w:val="00AB693B"/>
    <w:rsid w:val="00AB6EAE"/>
    <w:rsid w:val="00AB7DA2"/>
    <w:rsid w:val="00AC007F"/>
    <w:rsid w:val="00AC158C"/>
    <w:rsid w:val="00AC1AB7"/>
    <w:rsid w:val="00AC1D55"/>
    <w:rsid w:val="00AC2ECD"/>
    <w:rsid w:val="00AC3119"/>
    <w:rsid w:val="00AC38AE"/>
    <w:rsid w:val="00AC3CE2"/>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0FF3"/>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5CA0"/>
    <w:rsid w:val="00AF643F"/>
    <w:rsid w:val="00AF6DA0"/>
    <w:rsid w:val="00B006FE"/>
    <w:rsid w:val="00B007CB"/>
    <w:rsid w:val="00B00A65"/>
    <w:rsid w:val="00B02AA9"/>
    <w:rsid w:val="00B02D93"/>
    <w:rsid w:val="00B02FA3"/>
    <w:rsid w:val="00B03281"/>
    <w:rsid w:val="00B05084"/>
    <w:rsid w:val="00B076BB"/>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07D2"/>
    <w:rsid w:val="00B41888"/>
    <w:rsid w:val="00B4381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5300"/>
    <w:rsid w:val="00B56BB4"/>
    <w:rsid w:val="00B57004"/>
    <w:rsid w:val="00B57291"/>
    <w:rsid w:val="00B575E0"/>
    <w:rsid w:val="00B57A4E"/>
    <w:rsid w:val="00B57B83"/>
    <w:rsid w:val="00B57D38"/>
    <w:rsid w:val="00B57D49"/>
    <w:rsid w:val="00B57FF9"/>
    <w:rsid w:val="00B60BB3"/>
    <w:rsid w:val="00B60D11"/>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68"/>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4D2E"/>
    <w:rsid w:val="00BC4E54"/>
    <w:rsid w:val="00BC67B1"/>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66B0"/>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17956"/>
    <w:rsid w:val="00C226CD"/>
    <w:rsid w:val="00C227E1"/>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6A49"/>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D48"/>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5AA0"/>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C7F4D"/>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2BE"/>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1A3"/>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7AA"/>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86"/>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B7AA7"/>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99F"/>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005"/>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5AFC"/>
    <w:rsid w:val="00E4661B"/>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9B5"/>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6EE7"/>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6EC2"/>
    <w:rsid w:val="00EA745A"/>
    <w:rsid w:val="00EA7656"/>
    <w:rsid w:val="00EA7A01"/>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D20"/>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684A"/>
    <w:rsid w:val="00EF7C03"/>
    <w:rsid w:val="00F00459"/>
    <w:rsid w:val="00F00A11"/>
    <w:rsid w:val="00F01A5F"/>
    <w:rsid w:val="00F01AA2"/>
    <w:rsid w:val="00F038FE"/>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17D79"/>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3FB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03E5"/>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21"/>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0F4B"/>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0FF"/>
    <w:rsid w:val="00FB3344"/>
    <w:rsid w:val="00FB3775"/>
    <w:rsid w:val="00FB3CA6"/>
    <w:rsid w:val="00FB413D"/>
    <w:rsid w:val="00FB4C80"/>
    <w:rsid w:val="00FB5944"/>
    <w:rsid w:val="00FB5AE1"/>
    <w:rsid w:val="00FB6087"/>
    <w:rsid w:val="00FB6BA8"/>
    <w:rsid w:val="00FB7389"/>
    <w:rsid w:val="00FC186B"/>
    <w:rsid w:val="00FC1DCB"/>
    <w:rsid w:val="00FC2019"/>
    <w:rsid w:val="00FC22FC"/>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71486"/>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link w:val="ListParagraph"/>
    <w:uiPriority w:val="34"/>
    <w:rsid w:val="00AE0FF3"/>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6456928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0925906">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207966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b:Source>
    <b:Tag>RAN</b:Tag>
    <b:SourceType>Report</b:SourceType>
    <b:Guid>{CA465F62-A04F-443D-BF51-14016219DCAF}</b:Guid>
    <b:Title>RAN1#86bis Chairman’s Notes</b:Title>
    <b:RefOrder>1</b:RefOrder>
  </b:Source>
</b:Sources>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3.xml><?xml version="1.0" encoding="utf-8"?>
<ds:datastoreItem xmlns:ds="http://schemas.openxmlformats.org/officeDocument/2006/customXml" ds:itemID="{93188BCC-616A-4AF5-BDE0-F0F4D8517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D13E346-834B-4948-ACC8-39A66CEFB9CB}">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www.w3.org/XML/1998/namespace"/>
  </ds:schemaRefs>
</ds:datastoreItem>
</file>

<file path=customXml/itemProps5.xml><?xml version="1.0" encoding="utf-8"?>
<ds:datastoreItem xmlns:ds="http://schemas.openxmlformats.org/officeDocument/2006/customXml" ds:itemID="{20779292-61AB-469E-940D-7A8BE9781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40</TotalTime>
  <Pages>6</Pages>
  <Words>1615</Words>
  <Characters>9211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10805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Taherzadeh, Mahmoud</cp:lastModifiedBy>
  <cp:revision>28</cp:revision>
  <cp:lastPrinted>2014-08-07T20:35:00Z</cp:lastPrinted>
  <dcterms:created xsi:type="dcterms:W3CDTF">2017-02-03T23:21:00Z</dcterms:created>
  <dcterms:modified xsi:type="dcterms:W3CDTF">2017-02-07T02:16:00Z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